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b/>
          <w:color w:val="0A8997"/>
          <w:sz w:val="20"/>
        </w:rPr>
        <w:t>SYNTHETIC VENDOR PAPER</w:t>
      </w:r>
    </w:p>
    <w:p>
      <w:pPr>
        <w:pStyle w:val="Title"/>
      </w:pPr>
      <w:r>
        <w:t>Contoso Analytics DPA</w:t>
      </w:r>
    </w:p>
    <w:p>
      <w:pPr>
        <w:pStyle w:val="Subtitle"/>
      </w:pPr>
      <w:r>
        <w:rPr>
          <w:color w:val="486581"/>
        </w:rPr>
        <w:t>Data Processing Addendum</w:t>
      </w:r>
    </w:p>
    <w:p>
      <w:r>
        <w:rPr>
          <w:b/>
          <w:color w:val="A52F27"/>
          <w:sz w:val="18"/>
        </w:rPr>
        <w:t>DESIGNED RISK PROFILE: AMBIGUITY AND MULTIPLE DEVIATIONS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Matter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MAT-2026-031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Controller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Fourth Coffee Retail Group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Processor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Contoso Analytics Ltd.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Effective date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23 September 2026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Governing agreement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Cloud Services Agreement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Review posture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Vendor paper · Expedited pilot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5"/>
          </w:tcPr>
          <w:p>
            <w:r>
              <w:rPr>
                <w:b/>
              </w:rPr>
              <w:t xml:space="preserve">Training notice. </w:t>
            </w:r>
            <w:r>
              <w:t>All parties, facts, clauses, dates, and outcomes in this document are fictional. Use only for demonstration and evaluation.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2 · CONTRACT TERMS</w:t>
      </w:r>
    </w:p>
    <w:p>
      <w:pPr>
        <w:pStyle w:val="Heading1"/>
      </w:pPr>
      <w:r>
        <w:t>1. Scope and definitions</w:t>
      </w:r>
    </w:p>
    <w:p>
      <w:r>
        <w:rPr>
          <w:color w:val="486581"/>
        </w:rPr>
        <w:t>This Addendum governs Processor's handling of Personal Data for the Services.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1.1  Roles</w:t>
            </w:r>
          </w:p>
          <w:p>
            <w:pPr>
              <w:spacing w:after="100"/>
            </w:pPr>
            <w:r>
              <w:t>Fourth Coffee Retail Group is Controller and Contoso Analytics Ltd. is Processor for Personal Data described in Schedule 1.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1.2  Instructions</w:t>
            </w:r>
          </w:p>
          <w:p>
            <w:pPr>
              <w:spacing w:after="100"/>
            </w:pPr>
            <w:r>
              <w:t>Processor shall process Personal Data only on documented instructions, including transfers, unless applicable law requires otherwise.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1.3  Confidentiality</w:t>
            </w:r>
          </w:p>
          <w:p>
            <w:pPr>
              <w:spacing w:after="100"/>
            </w:pPr>
            <w:r>
              <w:t>Processor shall ensure persons authorized to process Personal Data are bound by confidentiality obligations.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2.1  Purpose limitation</w:t>
            </w:r>
          </w:p>
          <w:p>
            <w:pPr>
              <w:spacing w:after="100"/>
            </w:pPr>
            <w:r>
              <w:t>Processing is limited to hosting, support, security, and analytics necessary to deliver the Services.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2.2  Data subjects</w:t>
            </w:r>
          </w:p>
          <w:p>
            <w:pPr>
              <w:spacing w:after="100"/>
            </w:pPr>
            <w:r>
              <w:t>Authorized users, client personnel, patients, and business contacts as configured by Controller.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3 · CONTRACT TERMS</w:t>
      </w:r>
    </w:p>
    <w:p>
      <w:pPr>
        <w:pStyle w:val="Heading1"/>
      </w:pPr>
      <w:r>
        <w:t>3. Subprocessors</w:t>
      </w:r>
    </w:p>
    <w:p>
      <w:r>
        <w:rPr>
          <w:color w:val="486581"/>
        </w:rPr>
        <w:t>Changes to the processing chain may create operational and regulatory exposure.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CEDEA"/>
          </w:tcPr>
          <w:p>
            <w:r>
              <w:rPr>
                <w:b/>
                <w:color w:val="102A43"/>
              </w:rPr>
              <w:t>3.1  Authorization</w:t>
            </w:r>
            <w:r>
              <w:rPr>
                <w:b/>
                <w:color w:val="A52F27"/>
                <w:sz w:val="14"/>
              </w:rPr>
              <w:t xml:space="preserve">    MATERIAL DEVIATION</w:t>
            </w:r>
          </w:p>
          <w:p>
            <w:pPr>
              <w:spacing w:after="100"/>
            </w:pPr>
            <w:r>
              <w:t>Processor may modify its online subprocessor page from time to time. Controller is responsible for monitoring the page.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3.2  Flow-down terms</w:t>
            </w:r>
          </w:p>
          <w:p>
            <w:pPr>
              <w:spacing w:after="100"/>
            </w:pPr>
            <w:r>
              <w:t>Processor shall impose data protection obligations materially equivalent to this Addendum and remains responsible for each subprocessor's performance.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3.3  Current list</w:t>
            </w:r>
          </w:p>
          <w:p>
            <w:pPr>
              <w:spacing w:after="100"/>
            </w:pPr>
            <w:r>
              <w:t>The current subprocessor list will identify the entity, location, and processing purpose.</w:t>
            </w:r>
          </w:p>
        </w:tc>
      </w:tr>
    </w:tbl>
    <w:p>
      <w:pPr>
        <w:pStyle w:val="Heading2"/>
      </w:pPr>
      <w:r>
        <w:t>Operational note</w:t>
      </w:r>
    </w:p>
    <w:p>
      <w:r>
        <w:t>The mechanism relies on customer monitoring and provides no meaningful objection right.</w:t>
      </w:r>
    </w:p>
    <w:p>
      <w:r>
        <w:br w:type="page"/>
      </w:r>
    </w:p>
    <w:p>
      <w:r>
        <w:rPr>
          <w:b/>
          <w:color w:val="0A8997"/>
          <w:sz w:val="16"/>
        </w:rPr>
        <w:t>PAGE 4 · CONTRACT TERMS</w:t>
      </w:r>
    </w:p>
    <w:p>
      <w:pPr>
        <w:pStyle w:val="Heading1"/>
      </w:pPr>
      <w:r>
        <w:t>4. Security and incidents</w:t>
      </w:r>
    </w:p>
    <w:p>
      <w:r>
        <w:rPr>
          <w:color w:val="486581"/>
        </w:rPr>
        <w:t>The parties allocate responsibilities for safeguards, investigation, and notice.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4.1  Security program</w:t>
            </w:r>
          </w:p>
          <w:p>
            <w:pPr>
              <w:spacing w:after="100"/>
            </w:pPr>
            <w:r>
              <w:t>Processor shall maintain administrative, physical, and technical safeguards appropriate to the nature of the Personal Data and risk of processing.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CEDEA"/>
          </w:tcPr>
          <w:p>
            <w:r>
              <w:rPr>
                <w:b/>
                <w:color w:val="102A43"/>
              </w:rPr>
              <w:t>4.2  Security incident notice</w:t>
            </w:r>
            <w:r>
              <w:rPr>
                <w:b/>
                <w:color w:val="A52F27"/>
                <w:sz w:val="14"/>
              </w:rPr>
              <w:t xml:space="preserve">    MATERIAL DEVIATION</w:t>
            </w:r>
          </w:p>
          <w:p>
            <w:pPr>
              <w:spacing w:after="100"/>
            </w:pPr>
            <w:r>
              <w:t>Processor shall notify Controller promptly after Processor validates that a security event materially affected Personal Data.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4.3  Cooperation</w:t>
            </w:r>
          </w:p>
          <w:p>
            <w:pPr>
              <w:spacing w:after="100"/>
            </w:pPr>
            <w:r>
              <w:t>Processor shall investigate, mitigate, preserve relevant evidence, and provide information reasonably requested for Controller's response.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4.4  No admission</w:t>
            </w:r>
          </w:p>
          <w:p>
            <w:pPr>
              <w:spacing w:after="100"/>
            </w:pPr>
            <w:r>
              <w:t>Incident notice does not constitute an admission of fault or liability.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5 · CONTRACT TERMS</w:t>
      </w:r>
    </w:p>
    <w:p>
      <w:pPr>
        <w:pStyle w:val="Heading1"/>
      </w:pPr>
      <w:r>
        <w:t>5. Return, deletion, and assistance</w:t>
      </w:r>
    </w:p>
    <w:p>
      <w:r>
        <w:rPr>
          <w:color w:val="486581"/>
        </w:rPr>
        <w:t>Deletion obligations must remain testable after termination.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5.1  Return or deletion</w:t>
            </w:r>
          </w:p>
          <w:p>
            <w:pPr>
              <w:spacing w:after="100"/>
            </w:pPr>
            <w:r>
              <w:t>At Controller's election, Processor shall return or delete active copies of Personal Data within thirty days after termination.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CEDEA"/>
          </w:tcPr>
          <w:p>
            <w:r>
              <w:rPr>
                <w:b/>
                <w:color w:val="102A43"/>
              </w:rPr>
              <w:t>5.2  Backup copies</w:t>
            </w:r>
            <w:r>
              <w:rPr>
                <w:b/>
                <w:color w:val="A52F27"/>
                <w:sz w:val="14"/>
              </w:rPr>
              <w:t xml:space="preserve">    MATERIAL DEVIATION</w:t>
            </w:r>
          </w:p>
          <w:p>
            <w:pPr>
              <w:spacing w:after="100"/>
            </w:pPr>
            <w:r>
              <w:t>Backup and archival copies may be retained according to Processor's standard retention cycle and deleted in the ordinary course.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5.3  Data subject requests</w:t>
            </w:r>
          </w:p>
          <w:p>
            <w:pPr>
              <w:spacing w:after="100"/>
            </w:pPr>
            <w:r>
              <w:t>Processor shall provide reasonable assistance with access, correction, deletion, and objection requests, taking into account the nature of processing.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5.4  Regulatory inquiries</w:t>
            </w:r>
          </w:p>
          <w:p>
            <w:pPr>
              <w:spacing w:after="100"/>
            </w:pPr>
            <w:r>
              <w:t>Processor shall notify Controller of a regulator request unless prohibited by law.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6 · CONTRACT TERMS</w:t>
      </w:r>
    </w:p>
    <w:p>
      <w:pPr>
        <w:pStyle w:val="Heading1"/>
      </w:pPr>
      <w:r>
        <w:t>6. Liability, audit, and transfers</w:t>
      </w:r>
    </w:p>
    <w:p>
      <w:r>
        <w:rPr>
          <w:color w:val="486581"/>
        </w:rPr>
        <w:t>Commercial remedies and verification rights determine the practical enforceability of the Addendum.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5E5"/>
          </w:tcPr>
          <w:p>
            <w:r>
              <w:rPr>
                <w:b/>
                <w:color w:val="102A43"/>
              </w:rPr>
              <w:t>6.1  Liability</w:t>
            </w:r>
            <w:r>
              <w:rPr>
                <w:b/>
                <w:color w:val="8B5508"/>
                <w:sz w:val="14"/>
              </w:rPr>
              <w:t xml:space="preserve">    REVIEW REQUIRED</w:t>
            </w:r>
          </w:p>
          <w:p>
            <w:pPr>
              <w:spacing w:after="100"/>
            </w:pPr>
            <w:r>
              <w:t>Total liability, including for this Addendum, shall not exceed fees paid for the three months preceding the claim.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6.2  Audit evidence</w:t>
            </w:r>
          </w:p>
          <w:p>
            <w:pPr>
              <w:spacing w:after="100"/>
            </w:pPr>
            <w:r>
              <w:t>Processor may satisfy audit requests with a summary report selected by Processor; no remediation information is required.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6.3  International transfers</w:t>
            </w:r>
          </w:p>
          <w:p>
            <w:pPr>
              <w:spacing w:after="100"/>
            </w:pPr>
            <w:r>
              <w:t>Processor may process Personal Data wherever its affiliates or subprocessors operate, subject to applicable law.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6.4  Order of precedence</w:t>
            </w:r>
          </w:p>
          <w:p>
            <w:pPr>
              <w:spacing w:after="100"/>
            </w:pPr>
            <w:r>
              <w:t>This Addendum controls over conflicting terms of the governing agreement for Personal Data processing.</w:t>
            </w:r>
          </w:p>
        </w:tc>
      </w:tr>
    </w:tbl>
    <w:p>
      <w:pPr>
        <w:pStyle w:val="Heading2"/>
      </w:pPr>
      <w:r>
        <w:t>Signatures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</w:tcPr>
          <w:p>
            <w:r>
              <w:t>Fourth Coffee Retail Group</w:t>
              <w:br/>
              <w:t>By: ____________________</w:t>
            </w:r>
          </w:p>
        </w:tc>
        <w:tc>
          <w:tcPr>
            <w:tcW w:type="dxa" w:w="5083"/>
          </w:tcPr>
          <w:p>
            <w:r>
              <w:t>Contoso Analytics Ltd.</w:t>
              <w:br/>
              <w:t>By: ____________________</w:t>
            </w:r>
          </w:p>
        </w:tc>
      </w:tr>
      <w:tr>
        <w:tc>
          <w:tcPr>
            <w:tcW w:type="dxa" w:w="5083"/>
          </w:tcPr>
          <w:p>
            <w:r>
              <w:t>Name / Title: ____________________</w:t>
            </w:r>
          </w:p>
        </w:tc>
        <w:tc>
          <w:tcPr>
            <w:tcW w:type="dxa" w:w="5083"/>
          </w:tcPr>
          <w:p>
            <w:r>
              <w:t>Name / Title: 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rPr>
              <w:b/>
              <w:color w:val="486581"/>
              <w:sz w:val="14"/>
            </w:rPr>
            <w:t>SYNTHETIC TRAINING DOCUMENT · NOT LEGAL ADVICE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7776"/>
      <w:gridCol w:w="2304"/>
    </w:tblGrid>
    <w:tr>
      <w:tc>
        <w:tcPr>
          <w:tcW w:type="dxa" w:w="5040"/>
        </w:tcPr>
        <w:p>
          <w:r>
            <w:rPr>
              <w:b/>
              <w:color w:val="102A43"/>
              <w:sz w:val="16"/>
            </w:rPr>
            <w:t>Contoso Analytics DPA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b/>
              <w:color w:val="0A8997"/>
              <w:sz w:val="16"/>
            </w:rPr>
            <w:t>MAT-2026-031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 w:cs="Arial"/>
      <w:color w:val="102A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2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A899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8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02A4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Contoso Analytics DPA Synthetic</dc:title>
  <dc:subject>Synthetic legal AI demonstration artifact</dc:subject>
  <dc:creator>Governed Legal AI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