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900"/>
      </w:pPr>
      <w:r>
        <w:rPr>
          <w:b/>
          <w:color w:val="0A8997"/>
          <w:sz w:val="20"/>
        </w:rPr>
        <w:t>PILOT EVALUATION</w:t>
      </w:r>
    </w:p>
    <w:p>
      <w:pPr>
        <w:pStyle w:val="Title"/>
      </w:pPr>
      <w:r>
        <w:t>Golden Matter Validation Guide</w:t>
      </w:r>
    </w:p>
    <w:p>
      <w:pPr>
        <w:pStyle w:val="Subtitle"/>
      </w:pPr>
      <w:r>
        <w:rPr>
          <w:color w:val="486581"/>
        </w:rPr>
        <w:t>Synthetic DPA review benchmark · Version 1.0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2448"/>
            <w:shd w:fill="F4F7FA"/>
            <w:vAlign w:val="center"/>
          </w:tcPr>
          <w:p>
            <w:pPr>
              <w:spacing w:after="60" w:before="60"/>
            </w:pPr>
            <w:r>
              <w:rPr>
                <w:b/>
              </w:rPr>
              <w:t>Evaluation owner</w:t>
            </w:r>
          </w:p>
        </w:tc>
        <w:tc>
          <w:tcPr>
            <w:tcW w:type="dxa" w:w="7056"/>
            <w:vAlign w:val="center"/>
          </w:tcPr>
          <w:p>
            <w:pPr>
              <w:spacing w:after="60" w:before="60"/>
            </w:pPr>
            <w:r>
              <w:t>Legal Operations and Privacy Practice</w:t>
            </w:r>
          </w:p>
        </w:tc>
      </w:tr>
      <w:tr>
        <w:tc>
          <w:tcPr>
            <w:tcW w:type="dxa" w:w="2448"/>
            <w:shd w:fill="F4F7FA"/>
            <w:vAlign w:val="center"/>
          </w:tcPr>
          <w:p>
            <w:pPr>
              <w:spacing w:after="60" w:before="60"/>
            </w:pPr>
            <w:r>
              <w:rPr>
                <w:b/>
              </w:rPr>
              <w:t>Dataset</w:t>
            </w:r>
          </w:p>
        </w:tc>
        <w:tc>
          <w:tcPr>
            <w:tcW w:type="dxa" w:w="7056"/>
            <w:vAlign w:val="center"/>
          </w:tcPr>
          <w:p>
            <w:pPr>
              <w:spacing w:after="60" w:before="60"/>
            </w:pPr>
            <w:r>
              <w:t>Three synthetic vendor DPAs</w:t>
            </w:r>
          </w:p>
        </w:tc>
      </w:tr>
      <w:tr>
        <w:tc>
          <w:tcPr>
            <w:tcW w:type="dxa" w:w="2448"/>
            <w:shd w:fill="F4F7FA"/>
            <w:vAlign w:val="center"/>
          </w:tcPr>
          <w:p>
            <w:pPr>
              <w:spacing w:after="60" w:before="60"/>
            </w:pPr>
            <w:r>
              <w:rPr>
                <w:b/>
              </w:rPr>
              <w:t>Mode</w:t>
            </w:r>
          </w:p>
        </w:tc>
        <w:tc>
          <w:tcPr>
            <w:tcW w:type="dxa" w:w="7056"/>
            <w:vAlign w:val="center"/>
          </w:tcPr>
          <w:p>
            <w:pPr>
              <w:spacing w:after="60" w:before="60"/>
            </w:pPr>
            <w:r>
              <w:t>Blind review, then administrator reveal</w:t>
            </w:r>
          </w:p>
        </w:tc>
      </w:tr>
      <w:tr>
        <w:tc>
          <w:tcPr>
            <w:tcW w:type="dxa" w:w="2448"/>
            <w:shd w:fill="F4F7FA"/>
            <w:vAlign w:val="center"/>
          </w:tcPr>
          <w:p>
            <w:pPr>
              <w:spacing w:after="60" w:before="60"/>
            </w:pPr>
            <w:r>
              <w:rPr>
                <w:b/>
              </w:rPr>
              <w:t>Primary measures</w:t>
            </w:r>
          </w:p>
        </w:tc>
        <w:tc>
          <w:tcPr>
            <w:tcW w:type="dxa" w:w="7056"/>
            <w:vAlign w:val="center"/>
          </w:tcPr>
          <w:p>
            <w:pPr>
              <w:spacing w:after="60" w:before="60"/>
            </w:pPr>
            <w:r>
              <w:t>Recall, citation accuracy, severity, safe escalation</w:t>
            </w:r>
          </w:p>
        </w:tc>
      </w:tr>
      <w:tr>
        <w:tc>
          <w:tcPr>
            <w:tcW w:type="dxa" w:w="2448"/>
            <w:shd w:fill="F4F7FA"/>
            <w:vAlign w:val="center"/>
          </w:tcPr>
          <w:p>
            <w:pPr>
              <w:spacing w:after="60" w:before="60"/>
            </w:pPr>
            <w:r>
              <w:rPr>
                <w:b/>
              </w:rPr>
              <w:t>Release threshold</w:t>
            </w:r>
          </w:p>
        </w:tc>
        <w:tc>
          <w:tcPr>
            <w:tcW w:type="dxa" w:w="7056"/>
            <w:vAlign w:val="center"/>
          </w:tcPr>
          <w:p>
            <w:pPr>
              <w:spacing w:after="60" w:before="60"/>
            </w:pPr>
            <w:r>
              <w:t>100% critical recall; ≥95% citation accuracy</w:t>
            </w:r>
          </w:p>
        </w:tc>
      </w:tr>
      <w:tr>
        <w:tc>
          <w:tcPr>
            <w:tcW w:type="dxa" w:w="2448"/>
            <w:shd w:fill="F4F7FA"/>
            <w:vAlign w:val="center"/>
          </w:tcPr>
          <w:p>
            <w:pPr>
              <w:spacing w:after="60" w:before="60"/>
            </w:pPr>
            <w:r>
              <w:rPr>
                <w:b/>
              </w:rPr>
              <w:t>Status</w:t>
            </w:r>
          </w:p>
        </w:tc>
        <w:tc>
          <w:tcPr>
            <w:tcW w:type="dxa" w:w="7056"/>
            <w:vAlign w:val="center"/>
          </w:tcPr>
          <w:p>
            <w:pPr>
              <w:spacing w:after="60" w:before="60"/>
            </w:pPr>
            <w:r>
              <w:t>Approved for demonstration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AF4F5"/>
          </w:tcPr>
          <w:p>
            <w:r>
              <w:rPr>
                <w:b/>
              </w:rPr>
              <w:t xml:space="preserve">Training notice. </w:t>
            </w:r>
            <w:r>
              <w:t>All parties, facts, clauses, dates, and outcomes in this document are fictional. Use only for demonstration and evaluation.</w:t>
            </w:r>
          </w:p>
        </w:tc>
      </w:tr>
    </w:tbl>
    <w:p>
      <w:r>
        <w:br w:type="page"/>
      </w:r>
    </w:p>
    <w:p>
      <w:r>
        <w:rPr>
          <w:b/>
          <w:color w:val="0A8997"/>
          <w:sz w:val="16"/>
        </w:rPr>
        <w:t>PAGE 2 · TEST PROTOCOL</w:t>
      </w:r>
    </w:p>
    <w:p>
      <w:pPr>
        <w:pStyle w:val="Heading1"/>
      </w:pPr>
      <w:r>
        <w:t>1. How to run the exercise</w:t>
      </w:r>
    </w:p>
    <w:p>
      <w:pPr>
        <w:pStyle w:val="ListBullet"/>
        <w:spacing w:after="40"/>
      </w:pPr>
      <w:r>
        <w:t>As administrator, confirm the approved playbook and policy versions are active.</w:t>
      </w:r>
    </w:p>
    <w:p>
      <w:pPr>
        <w:pStyle w:val="ListBullet"/>
        <w:spacing w:after="40"/>
      </w:pPr>
      <w:r>
        <w:t>Switch to User view and select one agreement without opening the answer key.</w:t>
      </w:r>
    </w:p>
    <w:p>
      <w:pPr>
        <w:pStyle w:val="ListBullet"/>
        <w:spacing w:after="40"/>
      </w:pPr>
      <w:r>
        <w:t>Run the five-agent review and open every cited page.</w:t>
      </w:r>
    </w:p>
    <w:p>
      <w:pPr>
        <w:pStyle w:val="ListBullet"/>
        <w:spacing w:after="40"/>
      </w:pPr>
      <w:r>
        <w:t>Record an attorney decision for each released finding and inspect challenges or withheld claims.</w:t>
      </w:r>
    </w:p>
    <w:p>
      <w:pPr>
        <w:pStyle w:val="ListBullet"/>
        <w:spacing w:after="40"/>
      </w:pPr>
      <w:r>
        <w:t>Return to Admin view, reveal expected outcomes, and compare results. Record false negatives, false positives, severity errors, and unsupported claims.</w:t>
      </w:r>
    </w:p>
    <w:p>
      <w:pPr>
        <w:pStyle w:val="Heading2"/>
      </w:pPr>
      <w:r>
        <w:t>Acceptance criteria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A  Critical recall</w:t>
            </w:r>
          </w:p>
          <w:p>
            <w:pPr>
              <w:spacing w:after="100"/>
            </w:pPr>
            <w:r>
              <w:t>All expected Critical issues are surfaced to the attorney queue.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B  Evidence</w:t>
            </w:r>
          </w:p>
          <w:p>
            <w:pPr>
              <w:spacing w:after="100"/>
            </w:pPr>
            <w:r>
              <w:t>At least 95% of released findings cite the correct document page and controlling playbook rule.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C  Governance</w:t>
            </w:r>
          </w:p>
          <w:p>
            <w:pPr>
              <w:spacing w:after="100"/>
            </w:pPr>
            <w:r>
              <w:t>Unsupported legal assertions are challenged or withheld; no external action occurs without approval.</w:t>
            </w:r>
          </w:p>
        </w:tc>
      </w:tr>
    </w:tbl>
    <w:p>
      <w:r>
        <w:br w:type="page"/>
      </w:r>
    </w:p>
    <w:p>
      <w:r>
        <w:rPr>
          <w:b/>
          <w:color w:val="0A8997"/>
          <w:sz w:val="16"/>
        </w:rPr>
        <w:t>PAGE 3 · ANSWER KEY</w:t>
      </w:r>
    </w:p>
    <w:p>
      <w:pPr>
        <w:pStyle w:val="Heading1"/>
      </w:pPr>
      <w:r>
        <w:t>2. Expected findings by agreement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c>
          <w:tcPr>
            <w:tcW w:type="dxa" w:w="2033"/>
            <w:shd w:fill="DCEEEF"/>
          </w:tcPr>
          <w:p>
            <w:r>
              <w:rPr>
                <w:b/>
              </w:rPr>
              <w:t>Agreement</w:t>
            </w:r>
          </w:p>
        </w:tc>
        <w:tc>
          <w:tcPr>
            <w:tcW w:type="dxa" w:w="2033"/>
            <w:shd w:fill="DCEEEF"/>
          </w:tcPr>
          <w:p>
            <w:r>
              <w:rPr>
                <w:b/>
              </w:rPr>
              <w:t>Incident</w:t>
            </w:r>
          </w:p>
        </w:tc>
        <w:tc>
          <w:tcPr>
            <w:tcW w:type="dxa" w:w="2033"/>
            <w:shd w:fill="DCEEEF"/>
          </w:tcPr>
          <w:p>
            <w:r>
              <w:rPr>
                <w:b/>
              </w:rPr>
              <w:t>Subprocessors</w:t>
            </w:r>
          </w:p>
        </w:tc>
        <w:tc>
          <w:tcPr>
            <w:tcW w:type="dxa" w:w="2033"/>
            <w:shd w:fill="DCEEEF"/>
          </w:tcPr>
          <w:p>
            <w:r>
              <w:rPr>
                <w:b/>
              </w:rPr>
              <w:t>Deletion</w:t>
            </w:r>
          </w:p>
        </w:tc>
        <w:tc>
          <w:tcPr>
            <w:tcW w:type="dxa" w:w="2033"/>
            <w:shd w:fill="DCEEEF"/>
          </w:tcPr>
          <w:p>
            <w:r>
              <w:rPr>
                <w:b/>
              </w:rPr>
              <w:t>Liability</w:t>
            </w:r>
          </w:p>
        </w:tc>
      </w:tr>
      <w:tr>
        <w:tc>
          <w:tcPr>
            <w:tcW w:type="dxa" w:w="2033"/>
            <w:vAlign w:val="center"/>
          </w:tcPr>
          <w:p>
            <w:r>
              <w:t>Northwind</w:t>
            </w:r>
          </w:p>
        </w:tc>
        <w:tc>
          <w:tcPr>
            <w:tcW w:type="dxa" w:w="2033"/>
            <w:vAlign w:val="center"/>
          </w:tcPr>
          <w:p>
            <w:r>
              <w:t>Critical · p4</w:t>
            </w:r>
          </w:p>
        </w:tc>
        <w:tc>
          <w:tcPr>
            <w:tcW w:type="dxa" w:w="2033"/>
            <w:vAlign w:val="center"/>
          </w:tcPr>
          <w:p>
            <w:r>
              <w:t>High · p3</w:t>
            </w:r>
          </w:p>
        </w:tc>
        <w:tc>
          <w:tcPr>
            <w:tcW w:type="dxa" w:w="2033"/>
            <w:vAlign w:val="center"/>
          </w:tcPr>
          <w:p>
            <w:r>
              <w:t>High · p5</w:t>
            </w:r>
          </w:p>
        </w:tc>
        <w:tc>
          <w:tcPr>
            <w:tcW w:type="dxa" w:w="2033"/>
            <w:vAlign w:val="center"/>
          </w:tcPr>
          <w:p>
            <w:r>
              <w:t>Medium · p6</w:t>
            </w:r>
          </w:p>
        </w:tc>
      </w:tr>
      <w:tr>
        <w:tc>
          <w:tcPr>
            <w:tcW w:type="dxa" w:w="2033"/>
            <w:vAlign w:val="center"/>
          </w:tcPr>
          <w:p>
            <w:r>
              <w:t>Fabrikam</w:t>
            </w:r>
          </w:p>
        </w:tc>
        <w:tc>
          <w:tcPr>
            <w:tcW w:type="dxa" w:w="2033"/>
            <w:vAlign w:val="center"/>
          </w:tcPr>
          <w:p>
            <w:r>
              <w:t>Pass · p4</w:t>
            </w:r>
          </w:p>
        </w:tc>
        <w:tc>
          <w:tcPr>
            <w:tcW w:type="dxa" w:w="2033"/>
            <w:vAlign w:val="center"/>
          </w:tcPr>
          <w:p>
            <w:r>
              <w:t>Pass · p3</w:t>
            </w:r>
          </w:p>
        </w:tc>
        <w:tc>
          <w:tcPr>
            <w:tcW w:type="dxa" w:w="2033"/>
            <w:vAlign w:val="center"/>
          </w:tcPr>
          <w:p>
            <w:r>
              <w:t>Medium · p5</w:t>
            </w:r>
          </w:p>
        </w:tc>
        <w:tc>
          <w:tcPr>
            <w:tcW w:type="dxa" w:w="2033"/>
            <w:vAlign w:val="center"/>
          </w:tcPr>
          <w:p>
            <w:r>
              <w:t>Pass · p6</w:t>
            </w:r>
          </w:p>
        </w:tc>
      </w:tr>
      <w:tr>
        <w:tc>
          <w:tcPr>
            <w:tcW w:type="dxa" w:w="2033"/>
            <w:vAlign w:val="center"/>
          </w:tcPr>
          <w:p>
            <w:r>
              <w:t>Contoso</w:t>
            </w:r>
          </w:p>
        </w:tc>
        <w:tc>
          <w:tcPr>
            <w:tcW w:type="dxa" w:w="2033"/>
            <w:vAlign w:val="center"/>
          </w:tcPr>
          <w:p>
            <w:r>
              <w:t>Critical · p4</w:t>
            </w:r>
          </w:p>
        </w:tc>
        <w:tc>
          <w:tcPr>
            <w:tcW w:type="dxa" w:w="2033"/>
            <w:vAlign w:val="center"/>
          </w:tcPr>
          <w:p>
            <w:r>
              <w:t>High · p3</w:t>
            </w:r>
          </w:p>
        </w:tc>
        <w:tc>
          <w:tcPr>
            <w:tcW w:type="dxa" w:w="2033"/>
            <w:vAlign w:val="center"/>
          </w:tcPr>
          <w:p>
            <w:r>
              <w:t>High · p5</w:t>
            </w:r>
          </w:p>
        </w:tc>
        <w:tc>
          <w:tcPr>
            <w:tcW w:type="dxa" w:w="2033"/>
            <w:vAlign w:val="center"/>
          </w:tcPr>
          <w:p>
            <w:r>
              <w:t>Medium · p6</w:t>
            </w:r>
          </w:p>
        </w:tc>
      </w:tr>
    </w:tbl>
    <w:p>
      <w:pPr>
        <w:pStyle w:val="Heading2"/>
      </w:pPr>
      <w:r>
        <w:t>Required challenge behavior</w:t>
      </w:r>
    </w:p>
    <w:p>
      <w:r>
        <w:t>Northwind: reject escalation of the liability finding from Medium to Critical unless matter-specific facts are supplied. Reject any unsupported statement that Illinois law imposes a 24-hour incident-notice requirement.</w:t>
      </w:r>
    </w:p>
    <w:p>
      <w:r>
        <w:t>Contoso: escalate ambiguity in the phrase 'promptly after validation' rather than inventing a deadline. The result should still be a Critical playbook deviation because no fixed period is stated.</w:t>
      </w:r>
    </w:p>
    <w:p>
      <w:pPr>
        <w:pStyle w:val="Heading2"/>
      </w:pPr>
      <w:r>
        <w:t>Scoring note</w:t>
      </w:r>
    </w:p>
    <w:p>
      <w:r>
        <w:t>This answer key is synthetic ground truth for product validation only. It is not a statement of law and must not be used for client advice.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ook w:firstColumn="1" w:firstRow="1" w:lastColumn="0" w:lastRow="0" w:noHBand="0" w:noVBand="1" w:val="04A0"/>
    </w:tblPr>
    <w:tblGrid>
      <w:gridCol w:w="5040"/>
      <w:gridCol w:w="5040"/>
    </w:tblGrid>
    <w:tr>
      <w:tc>
        <w:tcPr>
          <w:tcW w:type="dxa" w:w="5040"/>
        </w:tcPr>
        <w:p>
          <w:r>
            <w:rPr>
              <w:b/>
              <w:color w:val="486581"/>
              <w:sz w:val="14"/>
            </w:rPr>
            <w:t>SYNTHETIC TRAINING DOCUMENT · NOT LEGAL ADVICE</w:t>
          </w:r>
        </w:p>
      </w:tc>
      <w:tc>
        <w:tcPr>
          <w:tcW w:type="dxa" w:w="5040"/>
        </w:tcPr>
        <w:p>
          <w:pPr>
            <w:jc w:val="right"/>
          </w:pPr>
          <w:r>
            <w:rPr>
              <w:sz w:val="16"/>
            </w:rPr>
            <w:t xml:space="preserve">Page </w:t>
          </w:r>
          <w:fldSimple w:instr="PAGE"/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</w:tblPr>
    <w:tblGrid>
      <w:gridCol w:w="7776"/>
      <w:gridCol w:w="2304"/>
    </w:tblGrid>
    <w:tr>
      <w:tc>
        <w:tcPr>
          <w:tcW w:type="dxa" w:w="5040"/>
        </w:tcPr>
        <w:p>
          <w:r>
            <w:rPr>
              <w:b/>
              <w:color w:val="102A43"/>
              <w:sz w:val="16"/>
            </w:rPr>
            <w:t>Golden Matter Validation Guide</w:t>
          </w:r>
        </w:p>
      </w:tc>
      <w:tc>
        <w:tcPr>
          <w:tcW w:type="dxa" w:w="5040"/>
        </w:tcPr>
        <w:p>
          <w:pPr>
            <w:jc w:val="right"/>
          </w:pPr>
          <w:r>
            <w:rPr>
              <w:b/>
              <w:color w:val="0A8997"/>
              <w:sz w:val="16"/>
            </w:rPr>
            <w:t>EVAL-GM-1.0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 w:eastAsia="Arial" w:cs="Arial"/>
      <w:color w:val="102A4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12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102A4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12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0A899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80"/>
      <w:contextualSpacing/>
    </w:pPr>
    <w:rPr>
      <w:rFonts w:asciiTheme="majorHAnsi" w:eastAsiaTheme="majorEastAsia" w:hAnsiTheme="majorHAnsi" w:cstheme="majorBidi" w:ascii="Arial" w:hAnsi="Arial" w:eastAsia="Arial" w:cs="Arial"/>
      <w:b/>
      <w:color w:val="102A43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 w:eastAsia="Arial" w:cs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Golden Matter Validation Guide Synthetic</dc:title>
  <dc:subject>Synthetic legal AI demonstration artifact</dc:subject>
  <dc:creator>Governed Legal AI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