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pPr>
      <w:r>
        <w:rPr>
          <w:b/>
          <w:color w:val="0A8997"/>
          <w:sz w:val="20"/>
        </w:rPr>
        <w:t>LAWYER PILOT</w:t>
      </w:r>
    </w:p>
    <w:p>
      <w:pPr>
        <w:pStyle w:val="Title"/>
      </w:pPr>
      <w:r>
        <w:t>Governed Legal AI Studio Lawyer Pilot Guide</w:t>
      </w:r>
    </w:p>
    <w:p>
      <w:pPr>
        <w:pStyle w:val="Subtitle"/>
      </w:pPr>
      <w:r>
        <w:rPr>
          <w:color w:val="486581"/>
        </w:rPr>
        <w:t>How to test a governed multi agent contract review workflow in 20 to 30 minutes</w:t>
      </w:r>
    </w:p>
    <w:p>
      <w:pPr>
        <w:pStyle w:val="Heading1"/>
      </w:pPr>
      <w:r>
        <w:t>Purpose</w:t>
      </w:r>
    </w:p>
    <w:p>
      <w:r>
        <w:t>This guide lets a practicing lawyer evaluate Governed Legal AI Studio without a verbal walkthrough. The prototype demonstrates how specialized AI agents can classify a data processing agreement, extract provisions, compare them with an approved playbook, challenge unsupported conclusions, draft proposed language, and preserve attorney control over the final work product.</w:t>
      </w:r>
    </w:p>
    <w:p>
      <w:r>
        <w:t>The most useful feedback is not whether the interface looks impressive. It is whether the workflow reflects how lawyers actually review agreements, whether the evidence is trustworthy, and whether the system puts the right decisions in front of the right human reviewer.</w:t>
      </w:r>
    </w:p>
    <w:p>
      <w:pPr>
        <w:pStyle w:val="Heading2"/>
      </w:pPr>
      <w:r>
        <w:t>Before you begin</w:t>
      </w:r>
    </w:p>
    <w:p>
      <w:pPr>
        <w:pStyle w:val="ListBullet"/>
        <w:spacing w:after="60"/>
      </w:pPr>
      <w:r>
        <w:t>Use only the supplied fictional agreements. Do not enter or upload client information.</w:t>
      </w:r>
    </w:p>
    <w:p>
      <w:pPr>
        <w:pStyle w:val="ListBullet"/>
        <w:spacing w:after="60"/>
      </w:pPr>
      <w:r>
        <w:t>Treat every AI output as a proposal that requires lawyer verification.</w:t>
      </w:r>
    </w:p>
    <w:p>
      <w:pPr>
        <w:pStyle w:val="ListBullet"/>
        <w:spacing w:after="60"/>
      </w:pPr>
      <w:r>
        <w:t>Use the source links and challenge ledger before judging a finding.</w:t>
      </w:r>
    </w:p>
    <w:p>
      <w:pPr>
        <w:pStyle w:val="ListBullet"/>
        <w:spacing w:after="60"/>
      </w:pPr>
      <w:r>
        <w:t>Allow approximately 20 to 30 minutes for the first review.</w:t>
      </w:r>
    </w:p>
    <w:p>
      <w:pPr>
        <w:pStyle w:val="Heading2"/>
      </w:pPr>
      <w:r>
        <w:t>Prototype boundaries</w:t>
      </w:r>
    </w:p>
    <w:p>
      <w:r>
        <w:t>This is an independent, scoped implementation demonstration, not a production legal service and not a representation of any commercial legal AI product. It does not provide legal advice, replace professional judgment, or reproduce proprietary product architecture.</w:t>
      </w:r>
    </w:p>
    <w:p>
      <w:r>
        <w:br w:type="page"/>
      </w:r>
    </w:p>
    <w:p>
      <w:pPr>
        <w:pStyle w:val="Heading1"/>
      </w:pPr>
      <w:r>
        <w:t>Quick start</w:t>
      </w:r>
    </w:p>
    <w:p>
      <w:r>
        <w:rPr>
          <w:color w:val="486581"/>
        </w:rPr>
        <w:t>A useful first session has three parts: review one matter, inspect governance behavior, and provide structured feedback.</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89"/>
        <w:gridCol w:w="3389"/>
        <w:gridCol w:w="3389"/>
      </w:tblGrid>
      <w:tr>
        <w:trPr>
          <w:tblHeader w:val="true"/>
        </w:trPr>
        <w:tc>
          <w:tcPr>
            <w:tcW w:type="dxa" w:w="1296"/>
            <w:shd w:fill="102A43"/>
            <w:tcMar>
              <w:top w:w="100" w:type="dxa"/>
              <w:left w:w="120" w:type="dxa"/>
              <w:bottom w:w="100" w:type="dxa"/>
              <w:right w:w="120" w:type="dxa"/>
            </w:tcMar>
            <w:vAlign w:val="center"/>
          </w:tcPr>
          <w:p>
            <w:r>
              <w:rPr>
                <w:b/>
                <w:color w:val="FFFFFF"/>
                <w:sz w:val="17"/>
              </w:rPr>
              <w:t>Time</w:t>
            </w:r>
          </w:p>
        </w:tc>
        <w:tc>
          <w:tcPr>
            <w:tcW w:type="dxa" w:w="3240"/>
            <w:shd w:fill="102A43"/>
            <w:tcMar>
              <w:top w:w="100" w:type="dxa"/>
              <w:left w:w="120" w:type="dxa"/>
              <w:bottom w:w="100" w:type="dxa"/>
              <w:right w:w="120" w:type="dxa"/>
            </w:tcMar>
            <w:vAlign w:val="center"/>
          </w:tcPr>
          <w:p>
            <w:r>
              <w:rPr>
                <w:b/>
                <w:color w:val="FFFFFF"/>
                <w:sz w:val="17"/>
              </w:rPr>
              <w:t>Activity</w:t>
            </w:r>
          </w:p>
        </w:tc>
        <w:tc>
          <w:tcPr>
            <w:tcW w:type="dxa" w:w="5112"/>
            <w:shd w:fill="102A43"/>
            <w:tcMar>
              <w:top w:w="100" w:type="dxa"/>
              <w:left w:w="120" w:type="dxa"/>
              <w:bottom w:w="100" w:type="dxa"/>
              <w:right w:w="120" w:type="dxa"/>
            </w:tcMar>
            <w:vAlign w:val="center"/>
          </w:tcPr>
          <w:p>
            <w:r>
              <w:rPr>
                <w:b/>
                <w:color w:val="FFFFFF"/>
                <w:sz w:val="17"/>
              </w:rPr>
              <w:t>What to observe</w:t>
            </w:r>
          </w:p>
        </w:tc>
      </w:tr>
      <w:tr>
        <w:tc>
          <w:tcPr>
            <w:tcW w:type="dxa" w:w="3389"/>
            <w:tcMar>
              <w:top w:w="100" w:type="dxa"/>
              <w:left w:w="120" w:type="dxa"/>
              <w:bottom w:w="100" w:type="dxa"/>
              <w:right w:w="120" w:type="dxa"/>
            </w:tcMar>
            <w:vAlign w:val="center"/>
          </w:tcPr>
          <w:p>
            <w:pPr>
              <w:spacing w:after="40" w:line="247" w:lineRule="auto"/>
            </w:pPr>
            <w:r>
              <w:rPr>
                <w:sz w:val="17"/>
              </w:rPr>
              <w:t>2 minutes</w:t>
            </w:r>
          </w:p>
        </w:tc>
        <w:tc>
          <w:tcPr>
            <w:tcW w:type="dxa" w:w="3389"/>
            <w:tcMar>
              <w:top w:w="100" w:type="dxa"/>
              <w:left w:w="120" w:type="dxa"/>
              <w:bottom w:w="100" w:type="dxa"/>
              <w:right w:w="120" w:type="dxa"/>
            </w:tcMar>
            <w:vAlign w:val="center"/>
          </w:tcPr>
          <w:p>
            <w:pPr>
              <w:spacing w:after="40" w:line="247" w:lineRule="auto"/>
            </w:pPr>
            <w:r>
              <w:rPr>
                <w:sz w:val="17"/>
              </w:rPr>
              <w:t>Open the application and select Northwind Health</w:t>
            </w:r>
          </w:p>
        </w:tc>
        <w:tc>
          <w:tcPr>
            <w:tcW w:type="dxa" w:w="3389"/>
            <w:tcMar>
              <w:top w:w="100" w:type="dxa"/>
              <w:left w:w="120" w:type="dxa"/>
              <w:bottom w:w="100" w:type="dxa"/>
              <w:right w:w="120" w:type="dxa"/>
            </w:tcMar>
            <w:vAlign w:val="center"/>
          </w:tcPr>
          <w:p>
            <w:pPr>
              <w:spacing w:after="40" w:line="247" w:lineRule="auto"/>
            </w:pPr>
            <w:r>
              <w:rPr>
                <w:sz w:val="17"/>
              </w:rPr>
              <w:t>The agreement, playbook, matter identity, and expected workflow are clear.</w:t>
            </w:r>
          </w:p>
        </w:tc>
      </w:tr>
      <w:tr>
        <w:tc>
          <w:tcPr>
            <w:tcW w:type="dxa" w:w="3389"/>
            <w:tcMar>
              <w:top w:w="100" w:type="dxa"/>
              <w:left w:w="120" w:type="dxa"/>
              <w:bottom w:w="100" w:type="dxa"/>
              <w:right w:w="120" w:type="dxa"/>
            </w:tcMar>
            <w:vAlign w:val="center"/>
            <w:shd w:fill="F5F7FA"/>
          </w:tcPr>
          <w:p>
            <w:pPr>
              <w:spacing w:after="40" w:line="247" w:lineRule="auto"/>
            </w:pPr>
            <w:r>
              <w:rPr>
                <w:sz w:val="17"/>
              </w:rPr>
              <w:t>3 minutes</w:t>
            </w:r>
          </w:p>
        </w:tc>
        <w:tc>
          <w:tcPr>
            <w:tcW w:type="dxa" w:w="3389"/>
            <w:tcMar>
              <w:top w:w="100" w:type="dxa"/>
              <w:left w:w="120" w:type="dxa"/>
              <w:bottom w:w="100" w:type="dxa"/>
              <w:right w:w="120" w:type="dxa"/>
            </w:tcMar>
            <w:vAlign w:val="center"/>
            <w:shd w:fill="F5F7FA"/>
          </w:tcPr>
          <w:p>
            <w:pPr>
              <w:spacing w:after="40" w:line="247" w:lineRule="auto"/>
            </w:pPr>
            <w:r>
              <w:rPr>
                <w:sz w:val="17"/>
              </w:rPr>
              <w:t>Open the agreement and playbook</w:t>
            </w:r>
          </w:p>
        </w:tc>
        <w:tc>
          <w:tcPr>
            <w:tcW w:type="dxa" w:w="3389"/>
            <w:tcMar>
              <w:top w:w="100" w:type="dxa"/>
              <w:left w:w="120" w:type="dxa"/>
              <w:bottom w:w="100" w:type="dxa"/>
              <w:right w:w="120" w:type="dxa"/>
            </w:tcMar>
            <w:vAlign w:val="center"/>
            <w:shd w:fill="F5F7FA"/>
          </w:tcPr>
          <w:p>
            <w:pPr>
              <w:spacing w:after="40" w:line="247" w:lineRule="auto"/>
            </w:pPr>
            <w:r>
              <w:rPr>
                <w:sz w:val="17"/>
              </w:rPr>
              <w:t>The source documents look credible and the operative clauses are easy to locate.</w:t>
            </w:r>
          </w:p>
        </w:tc>
      </w:tr>
      <w:tr>
        <w:tc>
          <w:tcPr>
            <w:tcW w:type="dxa" w:w="3389"/>
            <w:tcMar>
              <w:top w:w="100" w:type="dxa"/>
              <w:left w:w="120" w:type="dxa"/>
              <w:bottom w:w="100" w:type="dxa"/>
              <w:right w:w="120" w:type="dxa"/>
            </w:tcMar>
            <w:vAlign w:val="center"/>
          </w:tcPr>
          <w:p>
            <w:pPr>
              <w:spacing w:after="40" w:line="247" w:lineRule="auto"/>
            </w:pPr>
            <w:r>
              <w:rPr>
                <w:sz w:val="17"/>
              </w:rPr>
              <w:t>5 minutes</w:t>
            </w:r>
          </w:p>
        </w:tc>
        <w:tc>
          <w:tcPr>
            <w:tcW w:type="dxa" w:w="3389"/>
            <w:tcMar>
              <w:top w:w="100" w:type="dxa"/>
              <w:left w:w="120" w:type="dxa"/>
              <w:bottom w:w="100" w:type="dxa"/>
              <w:right w:w="120" w:type="dxa"/>
            </w:tcMar>
            <w:vAlign w:val="center"/>
          </w:tcPr>
          <w:p>
            <w:pPr>
              <w:spacing w:after="40" w:line="247" w:lineRule="auto"/>
            </w:pPr>
            <w:r>
              <w:rPr>
                <w:sz w:val="17"/>
              </w:rPr>
              <w:t>Run the governed agent review</w:t>
            </w:r>
          </w:p>
        </w:tc>
        <w:tc>
          <w:tcPr>
            <w:tcW w:type="dxa" w:w="3389"/>
            <w:tcMar>
              <w:top w:w="100" w:type="dxa"/>
              <w:left w:w="120" w:type="dxa"/>
              <w:bottom w:w="100" w:type="dxa"/>
              <w:right w:w="120" w:type="dxa"/>
            </w:tcMar>
            <w:vAlign w:val="center"/>
          </w:tcPr>
          <w:p>
            <w:pPr>
              <w:spacing w:after="40" w:line="247" w:lineRule="auto"/>
            </w:pPr>
            <w:r>
              <w:rPr>
                <w:sz w:val="17"/>
              </w:rPr>
              <w:t>Five distinct roles complete structured handoffs and report their outcomes.</w:t>
            </w:r>
          </w:p>
        </w:tc>
      </w:tr>
      <w:tr>
        <w:tc>
          <w:tcPr>
            <w:tcW w:type="dxa" w:w="3389"/>
            <w:tcMar>
              <w:top w:w="100" w:type="dxa"/>
              <w:left w:w="120" w:type="dxa"/>
              <w:bottom w:w="100" w:type="dxa"/>
              <w:right w:w="120" w:type="dxa"/>
            </w:tcMar>
            <w:vAlign w:val="center"/>
            <w:shd w:fill="F5F7FA"/>
          </w:tcPr>
          <w:p>
            <w:pPr>
              <w:spacing w:after="40" w:line="247" w:lineRule="auto"/>
            </w:pPr>
            <w:r>
              <w:rPr>
                <w:sz w:val="17"/>
              </w:rPr>
              <w:t>5 minutes</w:t>
            </w:r>
          </w:p>
        </w:tc>
        <w:tc>
          <w:tcPr>
            <w:tcW w:type="dxa" w:w="3389"/>
            <w:tcMar>
              <w:top w:w="100" w:type="dxa"/>
              <w:left w:w="120" w:type="dxa"/>
              <w:bottom w:w="100" w:type="dxa"/>
              <w:right w:w="120" w:type="dxa"/>
            </w:tcMar>
            <w:vAlign w:val="center"/>
            <w:shd w:fill="F5F7FA"/>
          </w:tcPr>
          <w:p>
            <w:pPr>
              <w:spacing w:after="40" w:line="247" w:lineRule="auto"/>
            </w:pPr>
            <w:r>
              <w:rPr>
                <w:sz w:val="17"/>
              </w:rPr>
              <w:t>Inspect findings and page citations</w:t>
            </w:r>
          </w:p>
        </w:tc>
        <w:tc>
          <w:tcPr>
            <w:tcW w:type="dxa" w:w="3389"/>
            <w:tcMar>
              <w:top w:w="100" w:type="dxa"/>
              <w:left w:w="120" w:type="dxa"/>
              <w:bottom w:w="100" w:type="dxa"/>
              <w:right w:w="120" w:type="dxa"/>
            </w:tcMar>
            <w:vAlign w:val="center"/>
            <w:shd w:fill="F5F7FA"/>
          </w:tcPr>
          <w:p>
            <w:pPr>
              <w:spacing w:after="40" w:line="247" w:lineRule="auto"/>
            </w:pPr>
            <w:r>
              <w:rPr>
                <w:sz w:val="17"/>
              </w:rPr>
              <w:t>Every released issue is grounded in contract language and an approved rule.</w:t>
            </w:r>
          </w:p>
        </w:tc>
      </w:tr>
      <w:tr>
        <w:tc>
          <w:tcPr>
            <w:tcW w:type="dxa" w:w="3389"/>
            <w:tcMar>
              <w:top w:w="100" w:type="dxa"/>
              <w:left w:w="120" w:type="dxa"/>
              <w:bottom w:w="100" w:type="dxa"/>
              <w:right w:w="120" w:type="dxa"/>
            </w:tcMar>
            <w:vAlign w:val="center"/>
          </w:tcPr>
          <w:p>
            <w:pPr>
              <w:spacing w:after="40" w:line="247" w:lineRule="auto"/>
            </w:pPr>
            <w:r>
              <w:rPr>
                <w:sz w:val="17"/>
              </w:rPr>
              <w:t>5 minutes</w:t>
            </w:r>
          </w:p>
        </w:tc>
        <w:tc>
          <w:tcPr>
            <w:tcW w:type="dxa" w:w="3389"/>
            <w:tcMar>
              <w:top w:w="100" w:type="dxa"/>
              <w:left w:w="120" w:type="dxa"/>
              <w:bottom w:w="100" w:type="dxa"/>
              <w:right w:w="120" w:type="dxa"/>
            </w:tcMar>
            <w:vAlign w:val="center"/>
          </w:tcPr>
          <w:p>
            <w:pPr>
              <w:spacing w:after="40" w:line="247" w:lineRule="auto"/>
            </w:pPr>
            <w:r>
              <w:rPr>
                <w:sz w:val="17"/>
              </w:rPr>
              <w:t>Open Agent Challenges</w:t>
            </w:r>
          </w:p>
        </w:tc>
        <w:tc>
          <w:tcPr>
            <w:tcW w:type="dxa" w:w="3389"/>
            <w:tcMar>
              <w:top w:w="100" w:type="dxa"/>
              <w:left w:w="120" w:type="dxa"/>
              <w:bottom w:w="100" w:type="dxa"/>
              <w:right w:w="120" w:type="dxa"/>
            </w:tcMar>
            <w:vAlign w:val="center"/>
          </w:tcPr>
          <w:p>
            <w:pPr>
              <w:spacing w:after="40" w:line="247" w:lineRule="auto"/>
            </w:pPr>
            <w:r>
              <w:rPr>
                <w:sz w:val="17"/>
              </w:rPr>
              <w:t>The Evidence Auditor opposes unsupported or overstated conclusions.</w:t>
            </w:r>
          </w:p>
        </w:tc>
      </w:tr>
      <w:tr>
        <w:tc>
          <w:tcPr>
            <w:tcW w:type="dxa" w:w="3389"/>
            <w:tcMar>
              <w:top w:w="100" w:type="dxa"/>
              <w:left w:w="120" w:type="dxa"/>
              <w:bottom w:w="100" w:type="dxa"/>
              <w:right w:w="120" w:type="dxa"/>
            </w:tcMar>
            <w:vAlign w:val="center"/>
            <w:shd w:fill="F5F7FA"/>
          </w:tcPr>
          <w:p>
            <w:pPr>
              <w:spacing w:after="40" w:line="247" w:lineRule="auto"/>
            </w:pPr>
            <w:r>
              <w:rPr>
                <w:sz w:val="17"/>
              </w:rPr>
              <w:t>5 minutes</w:t>
            </w:r>
          </w:p>
        </w:tc>
        <w:tc>
          <w:tcPr>
            <w:tcW w:type="dxa" w:w="3389"/>
            <w:tcMar>
              <w:top w:w="100" w:type="dxa"/>
              <w:left w:w="120" w:type="dxa"/>
              <w:bottom w:w="100" w:type="dxa"/>
              <w:right w:w="120" w:type="dxa"/>
            </w:tcMar>
            <w:vAlign w:val="center"/>
            <w:shd w:fill="F5F7FA"/>
          </w:tcPr>
          <w:p>
            <w:pPr>
              <w:spacing w:after="40" w:line="247" w:lineRule="auto"/>
            </w:pPr>
            <w:r>
              <w:rPr>
                <w:sz w:val="17"/>
              </w:rPr>
              <w:t>Record decisions and reveal expected results</w:t>
            </w:r>
          </w:p>
        </w:tc>
        <w:tc>
          <w:tcPr>
            <w:tcW w:type="dxa" w:w="3389"/>
            <w:tcMar>
              <w:top w:w="100" w:type="dxa"/>
              <w:left w:w="120" w:type="dxa"/>
              <w:bottom w:w="100" w:type="dxa"/>
              <w:right w:w="120" w:type="dxa"/>
            </w:tcMar>
            <w:vAlign w:val="center"/>
            <w:shd w:fill="F5F7FA"/>
          </w:tcPr>
          <w:p>
            <w:pPr>
              <w:spacing w:after="40" w:line="247" w:lineRule="auto"/>
            </w:pPr>
            <w:r>
              <w:rPr>
                <w:sz w:val="17"/>
              </w:rPr>
              <w:t>The lawyer retains approval authority and can compare the run with controlled ground truth.</w:t>
            </w:r>
          </w:p>
        </w:tc>
      </w:tr>
      <w:tr>
        <w:tc>
          <w:tcPr>
            <w:tcW w:type="dxa" w:w="3389"/>
            <w:tcMar>
              <w:top w:w="100" w:type="dxa"/>
              <w:left w:w="120" w:type="dxa"/>
              <w:bottom w:w="100" w:type="dxa"/>
              <w:right w:w="120" w:type="dxa"/>
            </w:tcMar>
            <w:vAlign w:val="center"/>
          </w:tcPr>
          <w:p>
            <w:pPr>
              <w:spacing w:after="40" w:line="247" w:lineRule="auto"/>
            </w:pPr>
            <w:r>
              <w:rPr>
                <w:sz w:val="17"/>
              </w:rPr>
              <w:t>5 minutes</w:t>
            </w:r>
          </w:p>
        </w:tc>
        <w:tc>
          <w:tcPr>
            <w:tcW w:type="dxa" w:w="3389"/>
            <w:tcMar>
              <w:top w:w="100" w:type="dxa"/>
              <w:left w:w="120" w:type="dxa"/>
              <w:bottom w:w="100" w:type="dxa"/>
              <w:right w:w="120" w:type="dxa"/>
            </w:tcMar>
            <w:vAlign w:val="center"/>
          </w:tcPr>
          <w:p>
            <w:pPr>
              <w:spacing w:after="40" w:line="247" w:lineRule="auto"/>
            </w:pPr>
            <w:r>
              <w:rPr>
                <w:sz w:val="17"/>
              </w:rPr>
              <w:t>Inspect administrator workspaces</w:t>
            </w:r>
          </w:p>
        </w:tc>
        <w:tc>
          <w:tcPr>
            <w:tcW w:type="dxa" w:w="3389"/>
            <w:tcMar>
              <w:top w:w="100" w:type="dxa"/>
              <w:left w:w="120" w:type="dxa"/>
              <w:bottom w:w="100" w:type="dxa"/>
              <w:right w:w="120" w:type="dxa"/>
            </w:tcMar>
            <w:vAlign w:val="center"/>
          </w:tcPr>
          <w:p>
            <w:pPr>
              <w:spacing w:after="40" w:line="247" w:lineRule="auto"/>
            </w:pPr>
            <w:r>
              <w:rPr>
                <w:sz w:val="17"/>
              </w:rPr>
              <w:t>Controlled sources, governance controls, assurance evidence, ownership, and release status are visible.</w:t>
            </w:r>
          </w:p>
        </w:tc>
      </w:tr>
    </w:tbl>
    <w:p>
      <w:pPr>
        <w:spacing w:after="20"/>
      </w:pPr>
    </w:p>
    <w:p>
      <w:pPr>
        <w:pStyle w:val="Heading2"/>
      </w:pPr>
      <w:r>
        <w:t>Application</w:t>
      </w:r>
    </w:p>
    <w:p>
      <w:r>
        <w:t>https://governed-legal-ai-studio.netlify.app/</w:t>
      </w:r>
    </w:p>
    <w:p>
      <w:pPr>
        <w:pStyle w:val="Heading2"/>
      </w:pPr>
      <w:r>
        <w:t>Recommended first matter</w:t>
      </w:r>
    </w:p>
    <w:p>
      <w:r>
        <w:t>Start with Northwind Health because it contains a mix of Critical, High, and Medium deviations. Then test Fabrikam for false positives and Contoso for uncertainty handling.</w:t>
      </w:r>
    </w:p>
    <w:p>
      <w:r>
        <w:br w:type="page"/>
      </w:r>
    </w:p>
    <w:p>
      <w:pPr>
        <w:pStyle w:val="Heading1"/>
      </w:pPr>
      <w:r>
        <w:t>Detailed user workflow</w:t>
      </w:r>
    </w:p>
    <w:p>
      <w:r>
        <w:rPr>
          <w:color w:val="486581"/>
        </w:rPr>
        <w:t>Follow these steps in order for a blind review. Do not open the administrator answer key until after you have assessed the output.</w:t>
      </w:r>
    </w:p>
    <w:p>
      <w:pPr>
        <w:pStyle w:val="ListNumber"/>
        <w:spacing w:after="140"/>
      </w:pPr>
      <w:r>
        <w:rPr>
          <w:b/>
        </w:rPr>
        <w:t xml:space="preserve">Select an agreement  </w:t>
      </w:r>
      <w:r>
        <w:t>Choose Northwind Health, Fabrikam Cloud, or Contoso Analytics from the Agreement menu.</w:t>
      </w:r>
    </w:p>
    <w:p>
      <w:pPr>
        <w:pStyle w:val="ListNumber"/>
        <w:spacing w:after="140"/>
      </w:pPr>
      <w:r>
        <w:rPr>
          <w:b/>
        </w:rPr>
        <w:t xml:space="preserve">Open the sources  </w:t>
      </w:r>
      <w:r>
        <w:t>Open the agreement and the approved Lakefront DPA Playbook. Note the document page numbers and relevant rules.</w:t>
      </w:r>
    </w:p>
    <w:p>
      <w:pPr>
        <w:pStyle w:val="ListNumber"/>
        <w:spacing w:after="140"/>
      </w:pPr>
      <w:r>
        <w:rPr>
          <w:b/>
        </w:rPr>
        <w:t xml:space="preserve">Run the review  </w:t>
      </w:r>
      <w:r>
        <w:t>Select Run governed agent review. The Intake, Clause, Playbook Risk, Evidence Auditor, and Drafting agents perform separate tasks.</w:t>
      </w:r>
    </w:p>
    <w:p>
      <w:pPr>
        <w:pStyle w:val="ListNumber"/>
        <w:spacing w:after="140"/>
      </w:pPr>
      <w:r>
        <w:rPr>
          <w:b/>
        </w:rPr>
        <w:t xml:space="preserve">Inspect each finding  </w:t>
      </w:r>
      <w:r>
        <w:t>Read the contract quotation, playbook requirement, severity, page citation, rationale, and proposed revision. Open the cited PDF page and verify the quotation.</w:t>
      </w:r>
    </w:p>
    <w:p>
      <w:pPr>
        <w:pStyle w:val="ListNumber"/>
        <w:spacing w:after="140"/>
      </w:pPr>
      <w:r>
        <w:rPr>
          <w:b/>
        </w:rPr>
        <w:t xml:space="preserve">Inspect disagreements  </w:t>
      </w:r>
      <w:r>
        <w:t>Open Agent Challenges. Look for an explicit challenge to an unsupported legal assertion, inflated severity, or missing evidence. Confirm that disputed claims do not silently reach drafting.</w:t>
      </w:r>
    </w:p>
    <w:p>
      <w:pPr>
        <w:pStyle w:val="ListNumber"/>
        <w:spacing w:after="140"/>
      </w:pPr>
      <w:r>
        <w:rPr>
          <w:b/>
        </w:rPr>
        <w:t xml:space="preserve">Make a lawyer decision  </w:t>
      </w:r>
      <w:r>
        <w:t>Accept the revision, reject it, or escalate it. The action should appear in the decision status and audit trail.</w:t>
      </w:r>
    </w:p>
    <w:p>
      <w:pPr>
        <w:pStyle w:val="ListNumber"/>
        <w:spacing w:after="140"/>
      </w:pPr>
      <w:r>
        <w:rPr>
          <w:b/>
        </w:rPr>
        <w:t xml:space="preserve">Evaluate the run  </w:t>
      </w:r>
      <w:r>
        <w:t>Open Evaluation and reveal expected results only after completing your review. Record any missed issue, false positive, wrong citation, severity error, or unsafe statement.</w:t>
      </w:r>
    </w:p>
    <w:p>
      <w:pPr>
        <w:pStyle w:val="ListNumber"/>
        <w:spacing w:after="140"/>
      </w:pPr>
      <w:r>
        <w:rPr>
          <w:b/>
        </w:rPr>
        <w:t xml:space="preserve">Review governance and administration  </w:t>
      </w:r>
      <w:r>
        <w:t>Select Admin view, then inspect both Admin library and Governance &amp; assurance. Confirm the controlled sources, AI System Card, SERVE control crosswalk, Illinois applicability analysis, runtime assurance test, and human release gate.</w:t>
      </w:r>
    </w:p>
    <w:p>
      <w:r>
        <w:br w:type="page"/>
      </w:r>
    </w:p>
    <w:p>
      <w:pPr>
        <w:pStyle w:val="Heading1"/>
      </w:pPr>
      <w:r>
        <w:t>Three test matters</w:t>
      </w:r>
    </w:p>
    <w:p>
      <w:r>
        <w:rPr>
          <w:color w:val="486581"/>
        </w:rPr>
        <w:t>Each fictional agreement tests a different failure mode. The guide describes the purpose of each case without revealing the complete answer key.</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89"/>
        <w:gridCol w:w="3389"/>
        <w:gridCol w:w="3389"/>
      </w:tblGrid>
      <w:tr>
        <w:trPr>
          <w:tblHeader w:val="true"/>
        </w:trPr>
        <w:tc>
          <w:tcPr>
            <w:tcW w:type="dxa" w:w="2232"/>
            <w:shd w:fill="102A43"/>
            <w:tcMar>
              <w:top w:w="100" w:type="dxa"/>
              <w:left w:w="120" w:type="dxa"/>
              <w:bottom w:w="100" w:type="dxa"/>
              <w:right w:w="120" w:type="dxa"/>
            </w:tcMar>
            <w:vAlign w:val="center"/>
          </w:tcPr>
          <w:p>
            <w:r>
              <w:rPr>
                <w:b/>
                <w:color w:val="FFFFFF"/>
                <w:sz w:val="17"/>
              </w:rPr>
              <w:t>Matter</w:t>
            </w:r>
          </w:p>
        </w:tc>
        <w:tc>
          <w:tcPr>
            <w:tcW w:type="dxa" w:w="3528"/>
            <w:shd w:fill="102A43"/>
            <w:tcMar>
              <w:top w:w="100" w:type="dxa"/>
              <w:left w:w="120" w:type="dxa"/>
              <w:bottom w:w="100" w:type="dxa"/>
              <w:right w:w="120" w:type="dxa"/>
            </w:tcMar>
            <w:vAlign w:val="center"/>
          </w:tcPr>
          <w:p>
            <w:r>
              <w:rPr>
                <w:b/>
                <w:color w:val="FFFFFF"/>
                <w:sz w:val="17"/>
              </w:rPr>
              <w:t>Designed challenge</w:t>
            </w:r>
          </w:p>
        </w:tc>
        <w:tc>
          <w:tcPr>
            <w:tcW w:type="dxa" w:w="3888"/>
            <w:shd w:fill="102A43"/>
            <w:tcMar>
              <w:top w:w="100" w:type="dxa"/>
              <w:left w:w="120" w:type="dxa"/>
              <w:bottom w:w="100" w:type="dxa"/>
              <w:right w:w="120" w:type="dxa"/>
            </w:tcMar>
            <w:vAlign w:val="center"/>
          </w:tcPr>
          <w:p>
            <w:r>
              <w:rPr>
                <w:b/>
                <w:color w:val="FFFFFF"/>
                <w:sz w:val="17"/>
              </w:rPr>
              <w:t>What a good system should demonstrate</w:t>
            </w:r>
          </w:p>
        </w:tc>
      </w:tr>
      <w:tr>
        <w:tc>
          <w:tcPr>
            <w:tcW w:type="dxa" w:w="3389"/>
            <w:tcMar>
              <w:top w:w="100" w:type="dxa"/>
              <w:left w:w="120" w:type="dxa"/>
              <w:bottom w:w="100" w:type="dxa"/>
              <w:right w:w="120" w:type="dxa"/>
            </w:tcMar>
            <w:vAlign w:val="center"/>
          </w:tcPr>
          <w:p>
            <w:pPr>
              <w:spacing w:after="40" w:line="247" w:lineRule="auto"/>
            </w:pPr>
            <w:r>
              <w:rPr>
                <w:sz w:val="17"/>
              </w:rPr>
              <w:t>Northwind Health</w:t>
            </w:r>
          </w:p>
        </w:tc>
        <w:tc>
          <w:tcPr>
            <w:tcW w:type="dxa" w:w="3389"/>
            <w:tcMar>
              <w:top w:w="100" w:type="dxa"/>
              <w:left w:w="120" w:type="dxa"/>
              <w:bottom w:w="100" w:type="dxa"/>
              <w:right w:w="120" w:type="dxa"/>
            </w:tcMar>
            <w:vAlign w:val="center"/>
          </w:tcPr>
          <w:p>
            <w:pPr>
              <w:spacing w:after="40" w:line="247" w:lineRule="auto"/>
            </w:pPr>
            <w:r>
              <w:rPr>
                <w:sz w:val="17"/>
              </w:rPr>
              <w:t>Several material deviations across incident notice, subprocessors, deletion, and liability</w:t>
            </w:r>
          </w:p>
        </w:tc>
        <w:tc>
          <w:tcPr>
            <w:tcW w:type="dxa" w:w="3389"/>
            <w:tcMar>
              <w:top w:w="100" w:type="dxa"/>
              <w:left w:w="120" w:type="dxa"/>
              <w:bottom w:w="100" w:type="dxa"/>
              <w:right w:w="120" w:type="dxa"/>
            </w:tcMar>
            <w:vAlign w:val="center"/>
          </w:tcPr>
          <w:p>
            <w:pPr>
              <w:spacing w:after="40" w:line="247" w:lineRule="auto"/>
            </w:pPr>
            <w:r>
              <w:rPr>
                <w:sz w:val="17"/>
              </w:rPr>
              <w:t>High recall, correct severity calibration, exact evidence, and safe redlining.</w:t>
            </w:r>
          </w:p>
        </w:tc>
      </w:tr>
      <w:tr>
        <w:tc>
          <w:tcPr>
            <w:tcW w:type="dxa" w:w="3389"/>
            <w:tcMar>
              <w:top w:w="100" w:type="dxa"/>
              <w:left w:w="120" w:type="dxa"/>
              <w:bottom w:w="100" w:type="dxa"/>
              <w:right w:w="120" w:type="dxa"/>
            </w:tcMar>
            <w:vAlign w:val="center"/>
            <w:shd w:fill="F5F7FA"/>
          </w:tcPr>
          <w:p>
            <w:pPr>
              <w:spacing w:after="40" w:line="247" w:lineRule="auto"/>
            </w:pPr>
            <w:r>
              <w:rPr>
                <w:sz w:val="17"/>
              </w:rPr>
              <w:t>Fabrikam Cloud</w:t>
            </w:r>
          </w:p>
        </w:tc>
        <w:tc>
          <w:tcPr>
            <w:tcW w:type="dxa" w:w="3389"/>
            <w:tcMar>
              <w:top w:w="100" w:type="dxa"/>
              <w:left w:w="120" w:type="dxa"/>
              <w:bottom w:w="100" w:type="dxa"/>
              <w:right w:w="120" w:type="dxa"/>
            </w:tcMar>
            <w:vAlign w:val="center"/>
            <w:shd w:fill="F5F7FA"/>
          </w:tcPr>
          <w:p>
            <w:pPr>
              <w:spacing w:after="40" w:line="247" w:lineRule="auto"/>
            </w:pPr>
            <w:r>
              <w:rPr>
                <w:sz w:val="17"/>
              </w:rPr>
              <w:t>Mostly compliant language with one limited retention variance</w:t>
            </w:r>
          </w:p>
        </w:tc>
        <w:tc>
          <w:tcPr>
            <w:tcW w:type="dxa" w:w="3389"/>
            <w:tcMar>
              <w:top w:w="100" w:type="dxa"/>
              <w:left w:w="120" w:type="dxa"/>
              <w:bottom w:w="100" w:type="dxa"/>
              <w:right w:w="120" w:type="dxa"/>
            </w:tcMar>
            <w:vAlign w:val="center"/>
            <w:shd w:fill="F5F7FA"/>
          </w:tcPr>
          <w:p>
            <w:pPr>
              <w:spacing w:after="40" w:line="247" w:lineRule="auto"/>
            </w:pPr>
            <w:r>
              <w:rPr>
                <w:sz w:val="17"/>
              </w:rPr>
              <w:t>Precision and restraint. The system should not manufacture issues merely to fill a queue.</w:t>
            </w:r>
          </w:p>
        </w:tc>
      </w:tr>
      <w:tr>
        <w:tc>
          <w:tcPr>
            <w:tcW w:type="dxa" w:w="3389"/>
            <w:tcMar>
              <w:top w:w="100" w:type="dxa"/>
              <w:left w:w="120" w:type="dxa"/>
              <w:bottom w:w="100" w:type="dxa"/>
              <w:right w:w="120" w:type="dxa"/>
            </w:tcMar>
            <w:vAlign w:val="center"/>
          </w:tcPr>
          <w:p>
            <w:pPr>
              <w:spacing w:after="40" w:line="247" w:lineRule="auto"/>
            </w:pPr>
            <w:r>
              <w:rPr>
                <w:sz w:val="17"/>
              </w:rPr>
              <w:t>Contoso Analytics</w:t>
            </w:r>
          </w:p>
        </w:tc>
        <w:tc>
          <w:tcPr>
            <w:tcW w:type="dxa" w:w="3389"/>
            <w:tcMar>
              <w:top w:w="100" w:type="dxa"/>
              <w:left w:w="120" w:type="dxa"/>
              <w:bottom w:w="100" w:type="dxa"/>
              <w:right w:w="120" w:type="dxa"/>
            </w:tcMar>
            <w:vAlign w:val="center"/>
          </w:tcPr>
          <w:p>
            <w:pPr>
              <w:spacing w:after="40" w:line="247" w:lineRule="auto"/>
            </w:pPr>
            <w:r>
              <w:rPr>
                <w:sz w:val="17"/>
              </w:rPr>
              <w:t>Ambiguous timing and undefined vendor standards</w:t>
            </w:r>
          </w:p>
        </w:tc>
        <w:tc>
          <w:tcPr>
            <w:tcW w:type="dxa" w:w="3389"/>
            <w:tcMar>
              <w:top w:w="100" w:type="dxa"/>
              <w:left w:w="120" w:type="dxa"/>
              <w:bottom w:w="100" w:type="dxa"/>
              <w:right w:w="120" w:type="dxa"/>
            </w:tcMar>
            <w:vAlign w:val="center"/>
          </w:tcPr>
          <w:p>
            <w:pPr>
              <w:spacing w:after="40" w:line="247" w:lineRule="auto"/>
            </w:pPr>
            <w:r>
              <w:rPr>
                <w:sz w:val="17"/>
              </w:rPr>
              <w:t>Recognition of uncertainty, no invented deadline, and escalation of the right legal question.</w:t>
            </w:r>
          </w:p>
        </w:tc>
      </w:tr>
    </w:tbl>
    <w:p>
      <w:pPr>
        <w:spacing w:after="20"/>
      </w:pPr>
    </w:p>
    <w:p>
      <w:pPr>
        <w:pStyle w:val="Heading2"/>
      </w:pPr>
      <w:r>
        <w:t>What to test in every matter</w:t>
      </w:r>
    </w:p>
    <w:p>
      <w:pPr>
        <w:pStyle w:val="ListBullet"/>
        <w:spacing w:after="60"/>
      </w:pPr>
      <w:r>
        <w:t>Recall  Did the workflow surface the issues a competent reviewer should see?</w:t>
      </w:r>
    </w:p>
    <w:p>
      <w:pPr>
        <w:pStyle w:val="ListBullet"/>
        <w:spacing w:after="60"/>
      </w:pPr>
      <w:r>
        <w:t>Precision  Did it avoid turning compliant language into a finding?</w:t>
      </w:r>
    </w:p>
    <w:p>
      <w:pPr>
        <w:pStyle w:val="ListBullet"/>
        <w:spacing w:after="60"/>
      </w:pPr>
      <w:r>
        <w:t>Evidence  Do quotations and page links match the source document?</w:t>
      </w:r>
    </w:p>
    <w:p>
      <w:pPr>
        <w:pStyle w:val="ListBullet"/>
        <w:spacing w:after="60"/>
      </w:pPr>
      <w:r>
        <w:t>Playbook fidelity  Does each conclusion use the applicable approved rule?</w:t>
      </w:r>
    </w:p>
    <w:p>
      <w:pPr>
        <w:pStyle w:val="ListBullet"/>
        <w:spacing w:after="60"/>
      </w:pPr>
      <w:r>
        <w:t>Judgment calibration  Are severity, escalation, and proposed language proportionate?</w:t>
      </w:r>
    </w:p>
    <w:p>
      <w:pPr>
        <w:pStyle w:val="ListBullet"/>
        <w:spacing w:after="60"/>
      </w:pPr>
      <w:r>
        <w:t>Governance  Did the auditor stop unsupported claims and preserve the attorney decision gate?</w:t>
      </w:r>
    </w:p>
    <w:p>
      <w:r>
        <w:br w:type="page"/>
      </w:r>
    </w:p>
    <w:p>
      <w:pPr>
        <w:pStyle w:val="Heading1"/>
      </w:pPr>
      <w:r>
        <w:t>Law firm jobs to be done</w:t>
      </w:r>
    </w:p>
    <w:p>
      <w:r>
        <w:rPr>
          <w:color w:val="486581"/>
        </w:rPr>
        <w:t>The prototype focuses on repeatable work in a small or medium law firm where lawyers need leverage without surrendering judgment or accountability.</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541"/>
        <w:gridCol w:w="2541"/>
        <w:gridCol w:w="2541"/>
        <w:gridCol w:w="2541"/>
      </w:tblGrid>
      <w:tr>
        <w:trPr>
          <w:tblHeader w:val="true"/>
        </w:trPr>
        <w:tc>
          <w:tcPr>
            <w:tcW w:type="dxa" w:w="1440"/>
            <w:shd w:fill="102A43"/>
            <w:tcMar>
              <w:top w:w="100" w:type="dxa"/>
              <w:left w:w="120" w:type="dxa"/>
              <w:bottom w:w="100" w:type="dxa"/>
              <w:right w:w="120" w:type="dxa"/>
            </w:tcMar>
            <w:vAlign w:val="center"/>
          </w:tcPr>
          <w:p>
            <w:r>
              <w:rPr>
                <w:b/>
                <w:color w:val="FFFFFF"/>
                <w:sz w:val="14"/>
              </w:rPr>
              <w:t>Workflow</w:t>
            </w:r>
          </w:p>
        </w:tc>
        <w:tc>
          <w:tcPr>
            <w:tcW w:type="dxa" w:w="2520"/>
            <w:shd w:fill="102A43"/>
            <w:tcMar>
              <w:top w:w="100" w:type="dxa"/>
              <w:left w:w="120" w:type="dxa"/>
              <w:bottom w:w="100" w:type="dxa"/>
              <w:right w:w="120" w:type="dxa"/>
            </w:tcMar>
            <w:vAlign w:val="center"/>
          </w:tcPr>
          <w:p>
            <w:r>
              <w:rPr>
                <w:b/>
                <w:color w:val="FFFFFF"/>
                <w:sz w:val="14"/>
              </w:rPr>
              <w:t>Job to be done</w:t>
            </w:r>
          </w:p>
        </w:tc>
        <w:tc>
          <w:tcPr>
            <w:tcW w:type="dxa" w:w="3816"/>
            <w:shd w:fill="102A43"/>
            <w:tcMar>
              <w:top w:w="100" w:type="dxa"/>
              <w:left w:w="120" w:type="dxa"/>
              <w:bottom w:w="100" w:type="dxa"/>
              <w:right w:w="120" w:type="dxa"/>
            </w:tcMar>
            <w:vAlign w:val="center"/>
          </w:tcPr>
          <w:p>
            <w:r>
              <w:rPr>
                <w:b/>
                <w:color w:val="FFFFFF"/>
                <w:sz w:val="14"/>
              </w:rPr>
              <w:t>How the lab helps</w:t>
            </w:r>
          </w:p>
        </w:tc>
        <w:tc>
          <w:tcPr>
            <w:tcW w:type="dxa" w:w="1944"/>
            <w:shd w:fill="102A43"/>
            <w:tcMar>
              <w:top w:w="100" w:type="dxa"/>
              <w:left w:w="120" w:type="dxa"/>
              <w:bottom w:w="100" w:type="dxa"/>
              <w:right w:w="120" w:type="dxa"/>
            </w:tcMar>
            <w:vAlign w:val="center"/>
          </w:tcPr>
          <w:p>
            <w:r>
              <w:rPr>
                <w:b/>
                <w:color w:val="FFFFFF"/>
                <w:sz w:val="14"/>
              </w:rPr>
              <w:t>Human control</w:t>
            </w:r>
          </w:p>
        </w:tc>
      </w:tr>
      <w:tr>
        <w:tc>
          <w:tcPr>
            <w:tcW w:type="dxa" w:w="2541"/>
            <w:tcMar>
              <w:top w:w="100" w:type="dxa"/>
              <w:left w:w="120" w:type="dxa"/>
              <w:bottom w:w="100" w:type="dxa"/>
              <w:right w:w="120" w:type="dxa"/>
            </w:tcMar>
            <w:vAlign w:val="center"/>
          </w:tcPr>
          <w:p>
            <w:pPr>
              <w:spacing w:after="40" w:line="247" w:lineRule="auto"/>
            </w:pPr>
            <w:r>
              <w:rPr>
                <w:sz w:val="14"/>
              </w:rPr>
              <w:t>Matter intake</w:t>
            </w:r>
          </w:p>
        </w:tc>
        <w:tc>
          <w:tcPr>
            <w:tcW w:type="dxa" w:w="2541"/>
            <w:tcMar>
              <w:top w:w="100" w:type="dxa"/>
              <w:left w:w="120" w:type="dxa"/>
              <w:bottom w:w="100" w:type="dxa"/>
              <w:right w:w="120" w:type="dxa"/>
            </w:tcMar>
            <w:vAlign w:val="center"/>
          </w:tcPr>
          <w:p>
            <w:pPr>
              <w:spacing w:after="40" w:line="247" w:lineRule="auto"/>
            </w:pPr>
            <w:r>
              <w:rPr>
                <w:sz w:val="14"/>
              </w:rPr>
              <w:t>Understand the document, parties, role, and applicable standard</w:t>
            </w:r>
          </w:p>
        </w:tc>
        <w:tc>
          <w:tcPr>
            <w:tcW w:type="dxa" w:w="2541"/>
            <w:tcMar>
              <w:top w:w="100" w:type="dxa"/>
              <w:left w:w="120" w:type="dxa"/>
              <w:bottom w:w="100" w:type="dxa"/>
              <w:right w:w="120" w:type="dxa"/>
            </w:tcMar>
            <w:vAlign w:val="center"/>
          </w:tcPr>
          <w:p>
            <w:pPr>
              <w:spacing w:after="40" w:line="247" w:lineRule="auto"/>
            </w:pPr>
            <w:r>
              <w:rPr>
                <w:sz w:val="14"/>
              </w:rPr>
              <w:t>The Intake Agent classifies the matter and selects the approved playbook.</w:t>
            </w:r>
          </w:p>
        </w:tc>
        <w:tc>
          <w:tcPr>
            <w:tcW w:type="dxa" w:w="2541"/>
            <w:tcMar>
              <w:top w:w="100" w:type="dxa"/>
              <w:left w:w="120" w:type="dxa"/>
              <w:bottom w:w="100" w:type="dxa"/>
              <w:right w:w="120" w:type="dxa"/>
            </w:tcMar>
            <w:vAlign w:val="center"/>
          </w:tcPr>
          <w:p>
            <w:pPr>
              <w:spacing w:after="40" w:line="247" w:lineRule="auto"/>
            </w:pPr>
            <w:r>
              <w:rPr>
                <w:sz w:val="14"/>
              </w:rPr>
              <w:t>A lawyer confirms scope and any matter-specific facts.</w:t>
            </w:r>
          </w:p>
        </w:tc>
      </w:tr>
      <w:tr>
        <w:tc>
          <w:tcPr>
            <w:tcW w:type="dxa" w:w="2541"/>
            <w:tcMar>
              <w:top w:w="100" w:type="dxa"/>
              <w:left w:w="120" w:type="dxa"/>
              <w:bottom w:w="100" w:type="dxa"/>
              <w:right w:w="120" w:type="dxa"/>
            </w:tcMar>
            <w:vAlign w:val="center"/>
            <w:shd w:fill="F5F7FA"/>
          </w:tcPr>
          <w:p>
            <w:pPr>
              <w:spacing w:after="40" w:line="247" w:lineRule="auto"/>
            </w:pPr>
            <w:r>
              <w:rPr>
                <w:sz w:val="14"/>
              </w:rPr>
              <w:t>Issue spotting</w:t>
            </w:r>
          </w:p>
        </w:tc>
        <w:tc>
          <w:tcPr>
            <w:tcW w:type="dxa" w:w="2541"/>
            <w:tcMar>
              <w:top w:w="100" w:type="dxa"/>
              <w:left w:w="120" w:type="dxa"/>
              <w:bottom w:w="100" w:type="dxa"/>
              <w:right w:w="120" w:type="dxa"/>
            </w:tcMar>
            <w:vAlign w:val="center"/>
            <w:shd w:fill="F5F7FA"/>
          </w:tcPr>
          <w:p>
            <w:pPr>
              <w:spacing w:after="40" w:line="247" w:lineRule="auto"/>
            </w:pPr>
            <w:r>
              <w:rPr>
                <w:sz w:val="14"/>
              </w:rPr>
              <w:t>Find relevant provisions without rereading the entire agreement</w:t>
            </w:r>
          </w:p>
        </w:tc>
        <w:tc>
          <w:tcPr>
            <w:tcW w:type="dxa" w:w="2541"/>
            <w:tcMar>
              <w:top w:w="100" w:type="dxa"/>
              <w:left w:w="120" w:type="dxa"/>
              <w:bottom w:w="100" w:type="dxa"/>
              <w:right w:w="120" w:type="dxa"/>
            </w:tcMar>
            <w:vAlign w:val="center"/>
            <w:shd w:fill="F5F7FA"/>
          </w:tcPr>
          <w:p>
            <w:pPr>
              <w:spacing w:after="40" w:line="247" w:lineRule="auto"/>
            </w:pPr>
            <w:r>
              <w:rPr>
                <w:sz w:val="14"/>
              </w:rPr>
              <w:t>The Clause Analyst extracts operative language with page evidence.</w:t>
            </w:r>
          </w:p>
        </w:tc>
        <w:tc>
          <w:tcPr>
            <w:tcW w:type="dxa" w:w="2541"/>
            <w:tcMar>
              <w:top w:w="100" w:type="dxa"/>
              <w:left w:w="120" w:type="dxa"/>
              <w:bottom w:w="100" w:type="dxa"/>
              <w:right w:w="120" w:type="dxa"/>
            </w:tcMar>
            <w:vAlign w:val="center"/>
            <w:shd w:fill="F5F7FA"/>
          </w:tcPr>
          <w:p>
            <w:pPr>
              <w:spacing w:after="40" w:line="247" w:lineRule="auto"/>
            </w:pPr>
            <w:r>
              <w:rPr>
                <w:sz w:val="14"/>
              </w:rPr>
              <w:t>A lawyer verifies completeness and context.</w:t>
            </w:r>
          </w:p>
        </w:tc>
      </w:tr>
      <w:tr>
        <w:tc>
          <w:tcPr>
            <w:tcW w:type="dxa" w:w="2541"/>
            <w:tcMar>
              <w:top w:w="100" w:type="dxa"/>
              <w:left w:w="120" w:type="dxa"/>
              <w:bottom w:w="100" w:type="dxa"/>
              <w:right w:w="120" w:type="dxa"/>
            </w:tcMar>
            <w:vAlign w:val="center"/>
          </w:tcPr>
          <w:p>
            <w:pPr>
              <w:spacing w:after="40" w:line="247" w:lineRule="auto"/>
            </w:pPr>
            <w:r>
              <w:rPr>
                <w:sz w:val="14"/>
              </w:rPr>
              <w:t>Risk review</w:t>
            </w:r>
          </w:p>
        </w:tc>
        <w:tc>
          <w:tcPr>
            <w:tcW w:type="dxa" w:w="2541"/>
            <w:tcMar>
              <w:top w:w="100" w:type="dxa"/>
              <w:left w:w="120" w:type="dxa"/>
              <w:bottom w:w="100" w:type="dxa"/>
              <w:right w:w="120" w:type="dxa"/>
            </w:tcMar>
            <w:vAlign w:val="center"/>
          </w:tcPr>
          <w:p>
            <w:pPr>
              <w:spacing w:after="40" w:line="247" w:lineRule="auto"/>
            </w:pPr>
            <w:r>
              <w:rPr>
                <w:sz w:val="14"/>
              </w:rPr>
              <w:t>Apply the firm's preferred positions consistently</w:t>
            </w:r>
          </w:p>
        </w:tc>
        <w:tc>
          <w:tcPr>
            <w:tcW w:type="dxa" w:w="2541"/>
            <w:tcMar>
              <w:top w:w="100" w:type="dxa"/>
              <w:left w:w="120" w:type="dxa"/>
              <w:bottom w:w="100" w:type="dxa"/>
              <w:right w:w="120" w:type="dxa"/>
            </w:tcMar>
            <w:vAlign w:val="center"/>
          </w:tcPr>
          <w:p>
            <w:pPr>
              <w:spacing w:after="40" w:line="247" w:lineRule="auto"/>
            </w:pPr>
            <w:r>
              <w:rPr>
                <w:sz w:val="14"/>
              </w:rPr>
              <w:t>The Risk Agent compares extracted terms with versioned playbook rules.</w:t>
            </w:r>
          </w:p>
        </w:tc>
        <w:tc>
          <w:tcPr>
            <w:tcW w:type="dxa" w:w="2541"/>
            <w:tcMar>
              <w:top w:w="100" w:type="dxa"/>
              <w:left w:w="120" w:type="dxa"/>
              <w:bottom w:w="100" w:type="dxa"/>
              <w:right w:w="120" w:type="dxa"/>
            </w:tcMar>
            <w:vAlign w:val="center"/>
          </w:tcPr>
          <w:p>
            <w:pPr>
              <w:spacing w:after="40" w:line="247" w:lineRule="auto"/>
            </w:pPr>
            <w:r>
              <w:rPr>
                <w:sz w:val="14"/>
              </w:rPr>
              <w:t>Practice leaders own the rules; matter counsel decides exceptions.</w:t>
            </w:r>
          </w:p>
        </w:tc>
      </w:tr>
      <w:tr>
        <w:tc>
          <w:tcPr>
            <w:tcW w:type="dxa" w:w="2541"/>
            <w:tcMar>
              <w:top w:w="100" w:type="dxa"/>
              <w:left w:w="120" w:type="dxa"/>
              <w:bottom w:w="100" w:type="dxa"/>
              <w:right w:w="120" w:type="dxa"/>
            </w:tcMar>
            <w:vAlign w:val="center"/>
            <w:shd w:fill="F5F7FA"/>
          </w:tcPr>
          <w:p>
            <w:pPr>
              <w:spacing w:after="40" w:line="247" w:lineRule="auto"/>
            </w:pPr>
            <w:r>
              <w:rPr>
                <w:sz w:val="14"/>
              </w:rPr>
              <w:t>Quality control</w:t>
            </w:r>
          </w:p>
        </w:tc>
        <w:tc>
          <w:tcPr>
            <w:tcW w:type="dxa" w:w="2541"/>
            <w:tcMar>
              <w:top w:w="100" w:type="dxa"/>
              <w:left w:w="120" w:type="dxa"/>
              <w:bottom w:w="100" w:type="dxa"/>
              <w:right w:w="120" w:type="dxa"/>
            </w:tcMar>
            <w:vAlign w:val="center"/>
            <w:shd w:fill="F5F7FA"/>
          </w:tcPr>
          <w:p>
            <w:pPr>
              <w:spacing w:after="40" w:line="247" w:lineRule="auto"/>
            </w:pPr>
            <w:r>
              <w:rPr>
                <w:sz w:val="14"/>
              </w:rPr>
              <w:t>Detect hallucinations, overstatement, and weak evidence</w:t>
            </w:r>
          </w:p>
        </w:tc>
        <w:tc>
          <w:tcPr>
            <w:tcW w:type="dxa" w:w="2541"/>
            <w:tcMar>
              <w:top w:w="100" w:type="dxa"/>
              <w:left w:w="120" w:type="dxa"/>
              <w:bottom w:w="100" w:type="dxa"/>
              <w:right w:w="120" w:type="dxa"/>
            </w:tcMar>
            <w:vAlign w:val="center"/>
            <w:shd w:fill="F5F7FA"/>
          </w:tcPr>
          <w:p>
            <w:pPr>
              <w:spacing w:after="40" w:line="247" w:lineRule="auto"/>
            </w:pPr>
            <w:r>
              <w:rPr>
                <w:sz w:val="14"/>
              </w:rPr>
              <w:t>The Evidence Auditor independently supports, challenges, or rejects proposed findings.</w:t>
            </w:r>
          </w:p>
        </w:tc>
        <w:tc>
          <w:tcPr>
            <w:tcW w:type="dxa" w:w="2541"/>
            <w:tcMar>
              <w:top w:w="100" w:type="dxa"/>
              <w:left w:w="120" w:type="dxa"/>
              <w:bottom w:w="100" w:type="dxa"/>
              <w:right w:w="120" w:type="dxa"/>
            </w:tcMar>
            <w:vAlign w:val="center"/>
            <w:shd w:fill="F5F7FA"/>
          </w:tcPr>
          <w:p>
            <w:pPr>
              <w:spacing w:after="40" w:line="247" w:lineRule="auto"/>
            </w:pPr>
            <w:r>
              <w:rPr>
                <w:sz w:val="14"/>
              </w:rPr>
              <w:t>A lawyer resolves disputed legal or factual questions.</w:t>
            </w:r>
          </w:p>
        </w:tc>
      </w:tr>
      <w:tr>
        <w:tc>
          <w:tcPr>
            <w:tcW w:type="dxa" w:w="2541"/>
            <w:tcMar>
              <w:top w:w="100" w:type="dxa"/>
              <w:left w:w="120" w:type="dxa"/>
              <w:bottom w:w="100" w:type="dxa"/>
              <w:right w:w="120" w:type="dxa"/>
            </w:tcMar>
            <w:vAlign w:val="center"/>
          </w:tcPr>
          <w:p>
            <w:pPr>
              <w:spacing w:after="40" w:line="247" w:lineRule="auto"/>
            </w:pPr>
            <w:r>
              <w:rPr>
                <w:sz w:val="14"/>
              </w:rPr>
              <w:t>Negotiation</w:t>
            </w:r>
          </w:p>
        </w:tc>
        <w:tc>
          <w:tcPr>
            <w:tcW w:type="dxa" w:w="2541"/>
            <w:tcMar>
              <w:top w:w="100" w:type="dxa"/>
              <w:left w:w="120" w:type="dxa"/>
              <w:bottom w:w="100" w:type="dxa"/>
              <w:right w:w="120" w:type="dxa"/>
            </w:tcMar>
            <w:vAlign w:val="center"/>
          </w:tcPr>
          <w:p>
            <w:pPr>
              <w:spacing w:after="40" w:line="247" w:lineRule="auto"/>
            </w:pPr>
            <w:r>
              <w:rPr>
                <w:sz w:val="14"/>
              </w:rPr>
              <w:t>Prepare practical fallback language efficiently</w:t>
            </w:r>
          </w:p>
        </w:tc>
        <w:tc>
          <w:tcPr>
            <w:tcW w:type="dxa" w:w="2541"/>
            <w:tcMar>
              <w:top w:w="100" w:type="dxa"/>
              <w:left w:w="120" w:type="dxa"/>
              <w:bottom w:w="100" w:type="dxa"/>
              <w:right w:w="120" w:type="dxa"/>
            </w:tcMar>
            <w:vAlign w:val="center"/>
          </w:tcPr>
          <w:p>
            <w:pPr>
              <w:spacing w:after="40" w:line="247" w:lineRule="auto"/>
            </w:pPr>
            <w:r>
              <w:rPr>
                <w:sz w:val="14"/>
              </w:rPr>
              <w:t>The Drafting Agent proposes language only for released findings.</w:t>
            </w:r>
          </w:p>
        </w:tc>
        <w:tc>
          <w:tcPr>
            <w:tcW w:type="dxa" w:w="2541"/>
            <w:tcMar>
              <w:top w:w="100" w:type="dxa"/>
              <w:left w:w="120" w:type="dxa"/>
              <w:bottom w:w="100" w:type="dxa"/>
              <w:right w:w="120" w:type="dxa"/>
            </w:tcMar>
            <w:vAlign w:val="center"/>
          </w:tcPr>
          <w:p>
            <w:pPr>
              <w:spacing w:after="40" w:line="247" w:lineRule="auto"/>
            </w:pPr>
            <w:r>
              <w:rPr>
                <w:sz w:val="14"/>
              </w:rPr>
              <w:t>Counsel edits and approves every redline before use.</w:t>
            </w:r>
          </w:p>
        </w:tc>
      </w:tr>
      <w:tr>
        <w:tc>
          <w:tcPr>
            <w:tcW w:type="dxa" w:w="2541"/>
            <w:tcMar>
              <w:top w:w="100" w:type="dxa"/>
              <w:left w:w="120" w:type="dxa"/>
              <w:bottom w:w="100" w:type="dxa"/>
              <w:right w:w="120" w:type="dxa"/>
            </w:tcMar>
            <w:vAlign w:val="center"/>
            <w:shd w:fill="F5F7FA"/>
          </w:tcPr>
          <w:p>
            <w:pPr>
              <w:spacing w:after="40" w:line="247" w:lineRule="auto"/>
            </w:pPr>
            <w:r>
              <w:rPr>
                <w:sz w:val="14"/>
              </w:rPr>
              <w:t>Client service</w:t>
            </w:r>
          </w:p>
        </w:tc>
        <w:tc>
          <w:tcPr>
            <w:tcW w:type="dxa" w:w="2541"/>
            <w:tcMar>
              <w:top w:w="100" w:type="dxa"/>
              <w:left w:w="120" w:type="dxa"/>
              <w:bottom w:w="100" w:type="dxa"/>
              <w:right w:w="120" w:type="dxa"/>
            </w:tcMar>
            <w:vAlign w:val="center"/>
            <w:shd w:fill="F5F7FA"/>
          </w:tcPr>
          <w:p>
            <w:pPr>
              <w:spacing w:after="40" w:line="247" w:lineRule="auto"/>
            </w:pPr>
            <w:r>
              <w:rPr>
                <w:sz w:val="14"/>
              </w:rPr>
              <w:t>Explain priorities, options, and tradeoffs clearly</w:t>
            </w:r>
          </w:p>
        </w:tc>
        <w:tc>
          <w:tcPr>
            <w:tcW w:type="dxa" w:w="2541"/>
            <w:tcMar>
              <w:top w:w="100" w:type="dxa"/>
              <w:left w:w="120" w:type="dxa"/>
              <w:bottom w:w="100" w:type="dxa"/>
              <w:right w:w="120" w:type="dxa"/>
            </w:tcMar>
            <w:vAlign w:val="center"/>
            <w:shd w:fill="F5F7FA"/>
          </w:tcPr>
          <w:p>
            <w:pPr>
              <w:spacing w:after="40" w:line="247" w:lineRule="auto"/>
            </w:pPr>
            <w:r>
              <w:rPr>
                <w:sz w:val="14"/>
              </w:rPr>
              <w:t>The review queue organizes issues by severity, owner, evidence, and decision status.</w:t>
            </w:r>
          </w:p>
        </w:tc>
        <w:tc>
          <w:tcPr>
            <w:tcW w:type="dxa" w:w="2541"/>
            <w:tcMar>
              <w:top w:w="100" w:type="dxa"/>
              <w:left w:w="120" w:type="dxa"/>
              <w:bottom w:w="100" w:type="dxa"/>
              <w:right w:w="120" w:type="dxa"/>
            </w:tcMar>
            <w:vAlign w:val="center"/>
            <w:shd w:fill="F5F7FA"/>
          </w:tcPr>
          <w:p>
            <w:pPr>
              <w:spacing w:after="40" w:line="247" w:lineRule="auto"/>
            </w:pPr>
            <w:r>
              <w:rPr>
                <w:sz w:val="14"/>
              </w:rPr>
              <w:t>The responsible lawyer provides advice and communicates externally.</w:t>
            </w:r>
          </w:p>
        </w:tc>
      </w:tr>
      <w:tr>
        <w:tc>
          <w:tcPr>
            <w:tcW w:type="dxa" w:w="2541"/>
            <w:tcMar>
              <w:top w:w="100" w:type="dxa"/>
              <w:left w:w="120" w:type="dxa"/>
              <w:bottom w:w="100" w:type="dxa"/>
              <w:right w:w="120" w:type="dxa"/>
            </w:tcMar>
            <w:vAlign w:val="center"/>
          </w:tcPr>
          <w:p>
            <w:pPr>
              <w:spacing w:after="40" w:line="247" w:lineRule="auto"/>
            </w:pPr>
            <w:r>
              <w:rPr>
                <w:sz w:val="14"/>
              </w:rPr>
              <w:t>Knowledge management</w:t>
            </w:r>
          </w:p>
        </w:tc>
        <w:tc>
          <w:tcPr>
            <w:tcW w:type="dxa" w:w="2541"/>
            <w:tcMar>
              <w:top w:w="100" w:type="dxa"/>
              <w:left w:w="120" w:type="dxa"/>
              <w:bottom w:w="100" w:type="dxa"/>
              <w:right w:w="120" w:type="dxa"/>
            </w:tcMar>
            <w:vAlign w:val="center"/>
          </w:tcPr>
          <w:p>
            <w:pPr>
              <w:spacing w:after="40" w:line="247" w:lineRule="auto"/>
            </w:pPr>
            <w:r>
              <w:rPr>
                <w:sz w:val="14"/>
              </w:rPr>
              <w:t>Reuse firm judgment instead of starting from scratch</w:t>
            </w:r>
          </w:p>
        </w:tc>
        <w:tc>
          <w:tcPr>
            <w:tcW w:type="dxa" w:w="2541"/>
            <w:tcMar>
              <w:top w:w="100" w:type="dxa"/>
              <w:left w:w="120" w:type="dxa"/>
              <w:bottom w:w="100" w:type="dxa"/>
              <w:right w:w="120" w:type="dxa"/>
            </w:tcMar>
            <w:vAlign w:val="center"/>
          </w:tcPr>
          <w:p>
            <w:pPr>
              <w:spacing w:after="40" w:line="247" w:lineRule="auto"/>
            </w:pPr>
            <w:r>
              <w:rPr>
                <w:sz w:val="14"/>
              </w:rPr>
              <w:t>The Admin Library versions playbooks, policies, and evaluation sets.</w:t>
            </w:r>
          </w:p>
        </w:tc>
        <w:tc>
          <w:tcPr>
            <w:tcW w:type="dxa" w:w="2541"/>
            <w:tcMar>
              <w:top w:w="100" w:type="dxa"/>
              <w:left w:w="120" w:type="dxa"/>
              <w:bottom w:w="100" w:type="dxa"/>
              <w:right w:w="120" w:type="dxa"/>
            </w:tcMar>
            <w:vAlign w:val="center"/>
          </w:tcPr>
          <w:p>
            <w:pPr>
              <w:spacing w:after="40" w:line="247" w:lineRule="auto"/>
            </w:pPr>
            <w:r>
              <w:rPr>
                <w:sz w:val="14"/>
              </w:rPr>
              <w:t>Authorized owners approve changes and release dates.</w:t>
            </w:r>
          </w:p>
        </w:tc>
      </w:tr>
      <w:tr>
        <w:tc>
          <w:tcPr>
            <w:tcW w:type="dxa" w:w="2541"/>
            <w:tcMar>
              <w:top w:w="100" w:type="dxa"/>
              <w:left w:w="120" w:type="dxa"/>
              <w:bottom w:w="100" w:type="dxa"/>
              <w:right w:w="120" w:type="dxa"/>
            </w:tcMar>
            <w:vAlign w:val="center"/>
            <w:shd w:fill="F5F7FA"/>
          </w:tcPr>
          <w:p>
            <w:pPr>
              <w:spacing w:after="40" w:line="247" w:lineRule="auto"/>
            </w:pPr>
            <w:r>
              <w:rPr>
                <w:sz w:val="14"/>
              </w:rPr>
              <w:t>Audit and governance</w:t>
            </w:r>
          </w:p>
        </w:tc>
        <w:tc>
          <w:tcPr>
            <w:tcW w:type="dxa" w:w="2541"/>
            <w:tcMar>
              <w:top w:w="100" w:type="dxa"/>
              <w:left w:w="120" w:type="dxa"/>
              <w:bottom w:w="100" w:type="dxa"/>
              <w:right w:w="120" w:type="dxa"/>
            </w:tcMar>
            <w:vAlign w:val="center"/>
            <w:shd w:fill="F5F7FA"/>
          </w:tcPr>
          <w:p>
            <w:pPr>
              <w:spacing w:after="40" w:line="247" w:lineRule="auto"/>
            </w:pPr>
            <w:r>
              <w:rPr>
                <w:sz w:val="14"/>
              </w:rPr>
              <w:t>Show who did what, with which sources and approvals</w:t>
            </w:r>
          </w:p>
        </w:tc>
        <w:tc>
          <w:tcPr>
            <w:tcW w:type="dxa" w:w="2541"/>
            <w:tcMar>
              <w:top w:w="100" w:type="dxa"/>
              <w:left w:w="120" w:type="dxa"/>
              <w:bottom w:w="100" w:type="dxa"/>
              <w:right w:w="120" w:type="dxa"/>
            </w:tcMar>
            <w:vAlign w:val="center"/>
            <w:shd w:fill="F5F7FA"/>
          </w:tcPr>
          <w:p>
            <w:pPr>
              <w:spacing w:after="40" w:line="247" w:lineRule="auto"/>
            </w:pPr>
            <w:r>
              <w:rPr>
                <w:sz w:val="14"/>
              </w:rPr>
              <w:t>The challenge ledger and audit trail preserve agent and attorney actions.</w:t>
            </w:r>
          </w:p>
        </w:tc>
        <w:tc>
          <w:tcPr>
            <w:tcW w:type="dxa" w:w="2541"/>
            <w:tcMar>
              <w:top w:w="100" w:type="dxa"/>
              <w:left w:w="120" w:type="dxa"/>
              <w:bottom w:w="100" w:type="dxa"/>
              <w:right w:w="120" w:type="dxa"/>
            </w:tcMar>
            <w:vAlign w:val="center"/>
            <w:shd w:fill="F5F7FA"/>
          </w:tcPr>
          <w:p>
            <w:pPr>
              <w:spacing w:after="40" w:line="247" w:lineRule="auto"/>
            </w:pPr>
            <w:r>
              <w:rPr>
                <w:sz w:val="14"/>
              </w:rPr>
              <w:t>The firm sets access, retention, monitoring, and escalation controls.</w:t>
            </w:r>
          </w:p>
        </w:tc>
      </w:tr>
      <w:tr>
        <w:tc>
          <w:tcPr>
            <w:tcW w:type="dxa" w:w="2541"/>
            <w:tcMar>
              <w:top w:w="100" w:type="dxa"/>
              <w:left w:w="120" w:type="dxa"/>
              <w:bottom w:w="100" w:type="dxa"/>
              <w:right w:w="120" w:type="dxa"/>
            </w:tcMar>
            <w:vAlign w:val="center"/>
          </w:tcPr>
          <w:p>
            <w:pPr>
              <w:spacing w:after="40" w:line="247" w:lineRule="auto"/>
            </w:pPr>
            <w:r>
              <w:rPr>
                <w:sz w:val="14"/>
              </w:rPr>
              <w:t>Portfolio oversight</w:t>
            </w:r>
          </w:p>
        </w:tc>
        <w:tc>
          <w:tcPr>
            <w:tcW w:type="dxa" w:w="2541"/>
            <w:tcMar>
              <w:top w:w="100" w:type="dxa"/>
              <w:left w:w="120" w:type="dxa"/>
              <w:bottom w:w="100" w:type="dxa"/>
              <w:right w:w="120" w:type="dxa"/>
            </w:tcMar>
            <w:vAlign w:val="center"/>
          </w:tcPr>
          <w:p>
            <w:pPr>
              <w:spacing w:after="40" w:line="247" w:lineRule="auto"/>
            </w:pPr>
            <w:r>
              <w:rPr>
                <w:sz w:val="14"/>
              </w:rPr>
              <w:t>See recurring deviations across vendors or matters</w:t>
            </w:r>
          </w:p>
        </w:tc>
        <w:tc>
          <w:tcPr>
            <w:tcW w:type="dxa" w:w="2541"/>
            <w:tcMar>
              <w:top w:w="100" w:type="dxa"/>
              <w:left w:w="120" w:type="dxa"/>
              <w:bottom w:w="100" w:type="dxa"/>
              <w:right w:w="120" w:type="dxa"/>
            </w:tcMar>
            <w:vAlign w:val="center"/>
          </w:tcPr>
          <w:p>
            <w:pPr>
              <w:spacing w:after="40" w:line="247" w:lineRule="auto"/>
            </w:pPr>
            <w:r>
              <w:rPr>
                <w:sz w:val="14"/>
              </w:rPr>
              <w:t>Portfolio comparison highlights patterns across the three DPAs.</w:t>
            </w:r>
          </w:p>
        </w:tc>
        <w:tc>
          <w:tcPr>
            <w:tcW w:type="dxa" w:w="2541"/>
            <w:tcMar>
              <w:top w:w="100" w:type="dxa"/>
              <w:left w:w="120" w:type="dxa"/>
              <w:bottom w:w="100" w:type="dxa"/>
              <w:right w:w="120" w:type="dxa"/>
            </w:tcMar>
            <w:vAlign w:val="center"/>
          </w:tcPr>
          <w:p>
            <w:pPr>
              <w:spacing w:after="40" w:line="247" w:lineRule="auto"/>
            </w:pPr>
            <w:r>
              <w:rPr>
                <w:sz w:val="14"/>
              </w:rPr>
              <w:t>Lawyers choose priorities and client-specific actions.</w:t>
            </w:r>
          </w:p>
        </w:tc>
      </w:tr>
      <w:tr>
        <w:tc>
          <w:tcPr>
            <w:tcW w:type="dxa" w:w="2541"/>
            <w:tcMar>
              <w:top w:w="100" w:type="dxa"/>
              <w:left w:w="120" w:type="dxa"/>
              <w:bottom w:w="100" w:type="dxa"/>
              <w:right w:w="120" w:type="dxa"/>
            </w:tcMar>
            <w:vAlign w:val="center"/>
            <w:shd w:fill="F5F7FA"/>
          </w:tcPr>
          <w:p>
            <w:pPr>
              <w:spacing w:after="40" w:line="247" w:lineRule="auto"/>
            </w:pPr>
            <w:r>
              <w:rPr>
                <w:sz w:val="14"/>
              </w:rPr>
              <w:t>Post signature work</w:t>
            </w:r>
          </w:p>
        </w:tc>
        <w:tc>
          <w:tcPr>
            <w:tcW w:type="dxa" w:w="2541"/>
            <w:tcMar>
              <w:top w:w="100" w:type="dxa"/>
              <w:left w:w="120" w:type="dxa"/>
              <w:bottom w:w="100" w:type="dxa"/>
              <w:right w:w="120" w:type="dxa"/>
            </w:tcMar>
            <w:vAlign w:val="center"/>
            <w:shd w:fill="F5F7FA"/>
          </w:tcPr>
          <w:p>
            <w:pPr>
              <w:spacing w:after="40" w:line="247" w:lineRule="auto"/>
            </w:pPr>
            <w:r>
              <w:rPr>
                <w:sz w:val="14"/>
              </w:rPr>
              <w:t>Turn negotiated terms into owned obligations</w:t>
            </w:r>
          </w:p>
        </w:tc>
        <w:tc>
          <w:tcPr>
            <w:tcW w:type="dxa" w:w="2541"/>
            <w:tcMar>
              <w:top w:w="100" w:type="dxa"/>
              <w:left w:w="120" w:type="dxa"/>
              <w:bottom w:w="100" w:type="dxa"/>
              <w:right w:w="120" w:type="dxa"/>
            </w:tcMar>
            <w:vAlign w:val="center"/>
            <w:shd w:fill="F5F7FA"/>
          </w:tcPr>
          <w:p>
            <w:pPr>
              <w:spacing w:after="40" w:line="247" w:lineRule="auto"/>
            </w:pPr>
            <w:r>
              <w:rPr>
                <w:sz w:val="14"/>
              </w:rPr>
              <w:t>The obligation register demonstrates extraction, assignment, monitoring, and reminders.</w:t>
            </w:r>
          </w:p>
        </w:tc>
        <w:tc>
          <w:tcPr>
            <w:tcW w:type="dxa" w:w="2541"/>
            <w:tcMar>
              <w:top w:w="100" w:type="dxa"/>
              <w:left w:w="120" w:type="dxa"/>
              <w:bottom w:w="100" w:type="dxa"/>
              <w:right w:w="120" w:type="dxa"/>
            </w:tcMar>
            <w:vAlign w:val="center"/>
            <w:shd w:fill="F5F7FA"/>
          </w:tcPr>
          <w:p>
            <w:pPr>
              <w:spacing w:after="40" w:line="247" w:lineRule="auto"/>
            </w:pPr>
            <w:r>
              <w:rPr>
                <w:sz w:val="14"/>
              </w:rPr>
              <w:t>Owners approve communications and verify completion evidence.</w:t>
            </w:r>
          </w:p>
        </w:tc>
      </w:tr>
    </w:tbl>
    <w:p>
      <w:pPr>
        <w:spacing w:after="20"/>
      </w:pPr>
    </w:p>
    <w:p>
      <w:r>
        <w:br w:type="page"/>
      </w:r>
    </w:p>
    <w:p>
      <w:pPr>
        <w:pStyle w:val="Heading1"/>
      </w:pPr>
      <w:r>
        <w:t>Responsible use and governance</w:t>
      </w:r>
    </w:p>
    <w:p>
      <w:r>
        <w:rPr>
          <w:color w:val="486581"/>
        </w:rPr>
        <w:t>A law firm implementation succeeds only when workflow value and responsible AI controls are designed together.</w:t>
      </w:r>
    </w:p>
    <w:p>
      <w:pPr>
        <w:pStyle w:val="Heading2"/>
      </w:pPr>
      <w:r>
        <w:t>What the agents may do</w:t>
      </w:r>
    </w:p>
    <w:p>
      <w:pPr>
        <w:pStyle w:val="ListBullet"/>
        <w:spacing w:after="60"/>
      </w:pPr>
      <w:r>
        <w:t>Classify supplied documents and identify approved review standards.</w:t>
      </w:r>
    </w:p>
    <w:p>
      <w:pPr>
        <w:pStyle w:val="ListBullet"/>
        <w:spacing w:after="60"/>
      </w:pPr>
      <w:r>
        <w:t>Extract clauses and preserve exact page-level evidence.</w:t>
      </w:r>
    </w:p>
    <w:p>
      <w:pPr>
        <w:pStyle w:val="ListBullet"/>
        <w:spacing w:after="60"/>
      </w:pPr>
      <w:r>
        <w:t>Compare terms with attorney-approved playbooks.</w:t>
      </w:r>
    </w:p>
    <w:p>
      <w:pPr>
        <w:pStyle w:val="ListBullet"/>
        <w:spacing w:after="60"/>
      </w:pPr>
      <w:r>
        <w:t>Challenge unsupported conclusions and prepare internal draft language.</w:t>
      </w:r>
    </w:p>
    <w:p>
      <w:pPr>
        <w:pStyle w:val="Heading2"/>
      </w:pPr>
      <w:r>
        <w:t>What requires a lawyer</w:t>
      </w:r>
    </w:p>
    <w:p>
      <w:pPr>
        <w:pStyle w:val="ListBullet"/>
        <w:spacing w:after="60"/>
      </w:pPr>
      <w:r>
        <w:t>Accepting legal or commercial risk.</w:t>
      </w:r>
    </w:p>
    <w:p>
      <w:pPr>
        <w:pStyle w:val="ListBullet"/>
        <w:spacing w:after="60"/>
      </w:pPr>
      <w:r>
        <w:t>Approving final redlines, legal conclusions, and client advice.</w:t>
      </w:r>
    </w:p>
    <w:p>
      <w:pPr>
        <w:pStyle w:val="ListBullet"/>
        <w:spacing w:after="60"/>
      </w:pPr>
      <w:r>
        <w:t>Communicating with a client, counterparty, regulator, tribunal, or court.</w:t>
      </w:r>
    </w:p>
    <w:p>
      <w:pPr>
        <w:pStyle w:val="ListBullet"/>
        <w:spacing w:after="60"/>
      </w:pPr>
      <w:r>
        <w:t>Deciding whether an authority applies to the matter and whether the source set is complete.</w:t>
      </w:r>
    </w:p>
    <w:p>
      <w:pPr>
        <w:pStyle w:val="Heading2"/>
      </w:pPr>
      <w:r>
        <w:t>Controls to expect in a real implementation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083"/>
        <w:gridCol w:w="5083"/>
      </w:tblGrid>
      <w:tr>
        <w:trPr>
          <w:tblHeader w:val="true"/>
        </w:trPr>
        <w:tc>
          <w:tcPr>
            <w:tcW w:type="dxa" w:w="2088"/>
            <w:shd w:fill="102A43"/>
            <w:tcMar>
              <w:top w:w="100" w:type="dxa"/>
              <w:left w:w="120" w:type="dxa"/>
              <w:bottom w:w="100" w:type="dxa"/>
              <w:right w:w="120" w:type="dxa"/>
            </w:tcMar>
            <w:vAlign w:val="center"/>
          </w:tcPr>
          <w:p>
            <w:r>
              <w:rPr>
                <w:b/>
                <w:color w:val="FFFFFF"/>
                <w:sz w:val="16"/>
              </w:rPr>
              <w:t>Control</w:t>
            </w:r>
          </w:p>
        </w:tc>
        <w:tc>
          <w:tcPr>
            <w:tcW w:type="dxa" w:w="7560"/>
            <w:shd w:fill="102A43"/>
            <w:tcMar>
              <w:top w:w="100" w:type="dxa"/>
              <w:left w:w="120" w:type="dxa"/>
              <w:bottom w:w="100" w:type="dxa"/>
              <w:right w:w="120" w:type="dxa"/>
            </w:tcMar>
            <w:vAlign w:val="center"/>
          </w:tcPr>
          <w:p>
            <w:r>
              <w:rPr>
                <w:b/>
                <w:color w:val="FFFFFF"/>
                <w:sz w:val="16"/>
              </w:rPr>
              <w:t>Implementation expectation</w:t>
            </w:r>
          </w:p>
        </w:tc>
      </w:tr>
      <w:tr>
        <w:tc>
          <w:tcPr>
            <w:tcW w:type="dxa" w:w="5083"/>
            <w:tcMar>
              <w:top w:w="100" w:type="dxa"/>
              <w:left w:w="120" w:type="dxa"/>
              <w:bottom w:w="100" w:type="dxa"/>
              <w:right w:w="120" w:type="dxa"/>
            </w:tcMar>
            <w:vAlign w:val="center"/>
          </w:tcPr>
          <w:p>
            <w:pPr>
              <w:spacing w:after="40" w:line="247" w:lineRule="auto"/>
            </w:pPr>
            <w:r>
              <w:rPr>
                <w:sz w:val="16"/>
              </w:rPr>
              <w:t>Confidentiality</w:t>
            </w:r>
          </w:p>
        </w:tc>
        <w:tc>
          <w:tcPr>
            <w:tcW w:type="dxa" w:w="5083"/>
            <w:tcMar>
              <w:top w:w="100" w:type="dxa"/>
              <w:left w:w="120" w:type="dxa"/>
              <w:bottom w:w="100" w:type="dxa"/>
              <w:right w:w="120" w:type="dxa"/>
            </w:tcMar>
            <w:vAlign w:val="center"/>
          </w:tcPr>
          <w:p>
            <w:pPr>
              <w:spacing w:after="40" w:line="247" w:lineRule="auto"/>
            </w:pPr>
            <w:r>
              <w:rPr>
                <w:sz w:val="16"/>
              </w:rPr>
              <w:t>Approved environment, contractual protection, least privilege, matter segregation, and no provider training on client data by default.</w:t>
            </w:r>
          </w:p>
        </w:tc>
      </w:tr>
      <w:tr>
        <w:tc>
          <w:tcPr>
            <w:tcW w:type="dxa" w:w="5083"/>
            <w:tcMar>
              <w:top w:w="100" w:type="dxa"/>
              <w:left w:w="120" w:type="dxa"/>
              <w:bottom w:w="100" w:type="dxa"/>
              <w:right w:w="120" w:type="dxa"/>
            </w:tcMar>
            <w:vAlign w:val="center"/>
            <w:shd w:fill="F5F7FA"/>
          </w:tcPr>
          <w:p>
            <w:pPr>
              <w:spacing w:after="40" w:line="247" w:lineRule="auto"/>
            </w:pPr>
            <w:r>
              <w:rPr>
                <w:sz w:val="16"/>
              </w:rPr>
              <w:t>Source grounding</w:t>
            </w:r>
          </w:p>
        </w:tc>
        <w:tc>
          <w:tcPr>
            <w:tcW w:type="dxa" w:w="5083"/>
            <w:tcMar>
              <w:top w:w="100" w:type="dxa"/>
              <w:left w:w="120" w:type="dxa"/>
              <w:bottom w:w="100" w:type="dxa"/>
              <w:right w:w="120" w:type="dxa"/>
            </w:tcMar>
            <w:vAlign w:val="center"/>
            <w:shd w:fill="F5F7FA"/>
          </w:tcPr>
          <w:p>
            <w:pPr>
              <w:spacing w:after="40" w:line="247" w:lineRule="auto"/>
            </w:pPr>
            <w:r>
              <w:rPr>
                <w:sz w:val="16"/>
              </w:rPr>
              <w:t>Released findings require contract evidence and an approved standard. Unsupported claims are withheld or escalated.</w:t>
            </w:r>
          </w:p>
        </w:tc>
      </w:tr>
      <w:tr>
        <w:tc>
          <w:tcPr>
            <w:tcW w:type="dxa" w:w="5083"/>
            <w:tcMar>
              <w:top w:w="100" w:type="dxa"/>
              <w:left w:w="120" w:type="dxa"/>
              <w:bottom w:w="100" w:type="dxa"/>
              <w:right w:w="120" w:type="dxa"/>
            </w:tcMar>
            <w:vAlign w:val="center"/>
          </w:tcPr>
          <w:p>
            <w:pPr>
              <w:spacing w:after="40" w:line="247" w:lineRule="auto"/>
            </w:pPr>
            <w:r>
              <w:rPr>
                <w:sz w:val="16"/>
              </w:rPr>
              <w:t>Change control</w:t>
            </w:r>
          </w:p>
        </w:tc>
        <w:tc>
          <w:tcPr>
            <w:tcW w:type="dxa" w:w="5083"/>
            <w:tcMar>
              <w:top w:w="100" w:type="dxa"/>
              <w:left w:w="120" w:type="dxa"/>
              <w:bottom w:w="100" w:type="dxa"/>
              <w:right w:w="120" w:type="dxa"/>
            </w:tcMar>
            <w:vAlign w:val="center"/>
          </w:tcPr>
          <w:p>
            <w:pPr>
              <w:spacing w:after="40" w:line="247" w:lineRule="auto"/>
            </w:pPr>
            <w:r>
              <w:rPr>
                <w:sz w:val="16"/>
              </w:rPr>
              <w:t>Model, prompt, retrieval, data-source, and playbook changes require evaluation and approval.</w:t>
            </w:r>
          </w:p>
        </w:tc>
      </w:tr>
      <w:tr>
        <w:tc>
          <w:tcPr>
            <w:tcW w:type="dxa" w:w="5083"/>
            <w:tcMar>
              <w:top w:w="100" w:type="dxa"/>
              <w:left w:w="120" w:type="dxa"/>
              <w:bottom w:w="100" w:type="dxa"/>
              <w:right w:w="120" w:type="dxa"/>
            </w:tcMar>
            <w:vAlign w:val="center"/>
            <w:shd w:fill="F5F7FA"/>
          </w:tcPr>
          <w:p>
            <w:pPr>
              <w:spacing w:after="40" w:line="247" w:lineRule="auto"/>
            </w:pPr>
            <w:r>
              <w:rPr>
                <w:sz w:val="16"/>
              </w:rPr>
              <w:t>Auditability</w:t>
            </w:r>
          </w:p>
        </w:tc>
        <w:tc>
          <w:tcPr>
            <w:tcW w:type="dxa" w:w="5083"/>
            <w:tcMar>
              <w:top w:w="100" w:type="dxa"/>
              <w:left w:w="120" w:type="dxa"/>
              <w:bottom w:w="100" w:type="dxa"/>
              <w:right w:w="120" w:type="dxa"/>
            </w:tcMar>
            <w:vAlign w:val="center"/>
            <w:shd w:fill="F5F7FA"/>
          </w:tcPr>
          <w:p>
            <w:pPr>
              <w:spacing w:after="40" w:line="247" w:lineRule="auto"/>
            </w:pPr>
            <w:r>
              <w:rPr>
                <w:sz w:val="16"/>
              </w:rPr>
              <w:t>Record source set, configuration, outputs, challenges, decisions, users, and timestamps subject to retention policy.</w:t>
            </w:r>
          </w:p>
        </w:tc>
      </w:tr>
      <w:tr>
        <w:tc>
          <w:tcPr>
            <w:tcW w:type="dxa" w:w="5083"/>
            <w:tcMar>
              <w:top w:w="100" w:type="dxa"/>
              <w:left w:w="120" w:type="dxa"/>
              <w:bottom w:w="100" w:type="dxa"/>
              <w:right w:w="120" w:type="dxa"/>
            </w:tcMar>
            <w:vAlign w:val="center"/>
          </w:tcPr>
          <w:p>
            <w:pPr>
              <w:spacing w:after="40" w:line="247" w:lineRule="auto"/>
            </w:pPr>
            <w:r>
              <w:rPr>
                <w:sz w:val="16"/>
              </w:rPr>
              <w:t>Evaluation</w:t>
            </w:r>
          </w:p>
        </w:tc>
        <w:tc>
          <w:tcPr>
            <w:tcW w:type="dxa" w:w="5083"/>
            <w:tcMar>
              <w:top w:w="100" w:type="dxa"/>
              <w:left w:w="120" w:type="dxa"/>
              <w:bottom w:w="100" w:type="dxa"/>
              <w:right w:w="120" w:type="dxa"/>
            </w:tcMar>
            <w:vAlign w:val="center"/>
          </w:tcPr>
          <w:p>
            <w:pPr>
              <w:spacing w:after="40" w:line="247" w:lineRule="auto"/>
            </w:pPr>
            <w:r>
              <w:rPr>
                <w:sz w:val="16"/>
              </w:rPr>
              <w:t>Test representative matters for critical recall, citation accuracy, overstatement, privilege risk, and attorney acceptance.</w:t>
            </w:r>
          </w:p>
        </w:tc>
      </w:tr>
    </w:tbl>
    <w:p>
      <w:pPr>
        <w:spacing w:after="20"/>
      </w:pPr>
    </w:p>
    <w:p>
      <w:r>
        <w:br w:type="page"/>
      </w:r>
    </w:p>
    <w:p>
      <w:pPr>
        <w:pStyle w:val="Heading1"/>
      </w:pPr>
      <w:r>
        <w:t>Feedback guide</w:t>
      </w:r>
    </w:p>
    <w:p>
      <w:r>
        <w:rPr>
          <w:color w:val="486581"/>
        </w:rPr>
        <w:t>Please focus on workflow fit, legal trustworthiness, and adoption risks. Short notes are enough if they are specific.</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083"/>
        <w:gridCol w:w="5083"/>
      </w:tblGrid>
      <w:tr>
        <w:trPr>
          <w:tblHeader w:val="true"/>
        </w:trPr>
        <w:tc>
          <w:tcPr>
            <w:tcW w:type="dxa" w:w="4896"/>
            <w:shd w:fill="102A43"/>
            <w:tcMar>
              <w:top w:w="100" w:type="dxa"/>
              <w:left w:w="120" w:type="dxa"/>
              <w:bottom w:w="100" w:type="dxa"/>
              <w:right w:w="120" w:type="dxa"/>
            </w:tcMar>
            <w:vAlign w:val="center"/>
          </w:tcPr>
          <w:p>
            <w:r>
              <w:rPr>
                <w:b/>
                <w:color w:val="FFFFFF"/>
                <w:sz w:val="16"/>
              </w:rPr>
              <w:t>Question</w:t>
            </w:r>
          </w:p>
        </w:tc>
        <w:tc>
          <w:tcPr>
            <w:tcW w:type="dxa" w:w="4752"/>
            <w:shd w:fill="102A43"/>
            <w:tcMar>
              <w:top w:w="100" w:type="dxa"/>
              <w:left w:w="120" w:type="dxa"/>
              <w:bottom w:w="100" w:type="dxa"/>
              <w:right w:w="120" w:type="dxa"/>
            </w:tcMar>
            <w:vAlign w:val="center"/>
          </w:tcPr>
          <w:p>
            <w:r>
              <w:rPr>
                <w:b/>
                <w:color w:val="FFFFFF"/>
                <w:sz w:val="16"/>
              </w:rPr>
              <w:t>Your notes</w:t>
            </w:r>
          </w:p>
        </w:tc>
      </w:tr>
      <w:tr>
        <w:tc>
          <w:tcPr>
            <w:tcW w:type="dxa" w:w="5083"/>
            <w:tcMar>
              <w:top w:w="100" w:type="dxa"/>
              <w:left w:w="120" w:type="dxa"/>
              <w:bottom w:w="100" w:type="dxa"/>
              <w:right w:w="120" w:type="dxa"/>
            </w:tcMar>
            <w:vAlign w:val="center"/>
          </w:tcPr>
          <w:p>
            <w:pPr>
              <w:spacing w:after="40" w:line="247" w:lineRule="auto"/>
            </w:pPr>
            <w:r>
              <w:rPr>
                <w:sz w:val="16"/>
              </w:rPr>
              <w:t>Which finding was most useful or persuasive and why?</w:t>
            </w:r>
          </w:p>
        </w:tc>
        <w:tc>
          <w:tcPr>
            <w:tcW w:type="dxa" w:w="5083"/>
            <w:tcMar>
              <w:top w:w="100" w:type="dxa"/>
              <w:left w:w="120" w:type="dxa"/>
              <w:bottom w:w="100" w:type="dxa"/>
              <w:right w:w="120" w:type="dxa"/>
            </w:tcMar>
            <w:vAlign w:val="center"/>
          </w:tcPr>
          <w:p>
            <w:pPr>
              <w:spacing w:after="40" w:line="247" w:lineRule="auto"/>
            </w:pPr>
            <w:r>
              <w:rPr>
                <w:sz w:val="16"/>
              </w:rPr>
            </w:r>
          </w:p>
        </w:tc>
      </w:tr>
      <w:tr>
        <w:tc>
          <w:tcPr>
            <w:tcW w:type="dxa" w:w="5083"/>
            <w:tcMar>
              <w:top w:w="100" w:type="dxa"/>
              <w:left w:w="120" w:type="dxa"/>
              <w:bottom w:w="100" w:type="dxa"/>
              <w:right w:w="120" w:type="dxa"/>
            </w:tcMar>
            <w:vAlign w:val="center"/>
            <w:shd w:fill="F5F7FA"/>
          </w:tcPr>
          <w:p>
            <w:pPr>
              <w:spacing w:after="40" w:line="247" w:lineRule="auto"/>
            </w:pPr>
            <w:r>
              <w:rPr>
                <w:sz w:val="16"/>
              </w:rPr>
              <w:t>Was any issue missed, overstated, or incorrectly prioritized?</w:t>
            </w:r>
          </w:p>
        </w:tc>
        <w:tc>
          <w:tcPr>
            <w:tcW w:type="dxa" w:w="5083"/>
            <w:tcMar>
              <w:top w:w="100" w:type="dxa"/>
              <w:left w:w="120" w:type="dxa"/>
              <w:bottom w:w="100" w:type="dxa"/>
              <w:right w:w="120" w:type="dxa"/>
            </w:tcMar>
            <w:vAlign w:val="center"/>
            <w:shd w:fill="F5F7FA"/>
          </w:tcPr>
          <w:p>
            <w:pPr>
              <w:spacing w:after="40" w:line="247" w:lineRule="auto"/>
            </w:pPr>
            <w:r>
              <w:rPr>
                <w:sz w:val="16"/>
              </w:rPr>
            </w:r>
          </w:p>
        </w:tc>
      </w:tr>
      <w:tr>
        <w:tc>
          <w:tcPr>
            <w:tcW w:type="dxa" w:w="5083"/>
            <w:tcMar>
              <w:top w:w="100" w:type="dxa"/>
              <w:left w:w="120" w:type="dxa"/>
              <w:bottom w:w="100" w:type="dxa"/>
              <w:right w:w="120" w:type="dxa"/>
            </w:tcMar>
            <w:vAlign w:val="center"/>
          </w:tcPr>
          <w:p>
            <w:pPr>
              <w:spacing w:after="40" w:line="247" w:lineRule="auto"/>
            </w:pPr>
            <w:r>
              <w:rPr>
                <w:sz w:val="16"/>
              </w:rPr>
              <w:t>Did every quotation and page citation match the agreement?</w:t>
            </w:r>
          </w:p>
        </w:tc>
        <w:tc>
          <w:tcPr>
            <w:tcW w:type="dxa" w:w="5083"/>
            <w:tcMar>
              <w:top w:w="100" w:type="dxa"/>
              <w:left w:w="120" w:type="dxa"/>
              <w:bottom w:w="100" w:type="dxa"/>
              <w:right w:w="120" w:type="dxa"/>
            </w:tcMar>
            <w:vAlign w:val="center"/>
          </w:tcPr>
          <w:p>
            <w:pPr>
              <w:spacing w:after="40" w:line="247" w:lineRule="auto"/>
            </w:pPr>
            <w:r>
              <w:rPr>
                <w:sz w:val="16"/>
              </w:rPr>
            </w:r>
          </w:p>
        </w:tc>
      </w:tr>
      <w:tr>
        <w:tc>
          <w:tcPr>
            <w:tcW w:type="dxa" w:w="5083"/>
            <w:tcMar>
              <w:top w:w="100" w:type="dxa"/>
              <w:left w:w="120" w:type="dxa"/>
              <w:bottom w:w="100" w:type="dxa"/>
              <w:right w:w="120" w:type="dxa"/>
            </w:tcMar>
            <w:vAlign w:val="center"/>
            <w:shd w:fill="F5F7FA"/>
          </w:tcPr>
          <w:p>
            <w:pPr>
              <w:spacing w:after="40" w:line="247" w:lineRule="auto"/>
            </w:pPr>
            <w:r>
              <w:rPr>
                <w:sz w:val="16"/>
              </w:rPr>
              <w:t>Did the proposed language reflect a realistic negotiating position?</w:t>
            </w:r>
          </w:p>
        </w:tc>
        <w:tc>
          <w:tcPr>
            <w:tcW w:type="dxa" w:w="5083"/>
            <w:tcMar>
              <w:top w:w="100" w:type="dxa"/>
              <w:left w:w="120" w:type="dxa"/>
              <w:bottom w:w="100" w:type="dxa"/>
              <w:right w:w="120" w:type="dxa"/>
            </w:tcMar>
            <w:vAlign w:val="center"/>
            <w:shd w:fill="F5F7FA"/>
          </w:tcPr>
          <w:p>
            <w:pPr>
              <w:spacing w:after="40" w:line="247" w:lineRule="auto"/>
            </w:pPr>
            <w:r>
              <w:rPr>
                <w:sz w:val="16"/>
              </w:rPr>
            </w:r>
          </w:p>
        </w:tc>
      </w:tr>
      <w:tr>
        <w:tc>
          <w:tcPr>
            <w:tcW w:type="dxa" w:w="5083"/>
            <w:tcMar>
              <w:top w:w="100" w:type="dxa"/>
              <w:left w:w="120" w:type="dxa"/>
              <w:bottom w:w="100" w:type="dxa"/>
              <w:right w:w="120" w:type="dxa"/>
            </w:tcMar>
            <w:vAlign w:val="center"/>
          </w:tcPr>
          <w:p>
            <w:pPr>
              <w:spacing w:after="40" w:line="247" w:lineRule="auto"/>
            </w:pPr>
            <w:r>
              <w:rPr>
                <w:sz w:val="16"/>
              </w:rPr>
              <w:t>Did the Evidence Auditor challenge the right claims?</w:t>
            </w:r>
          </w:p>
        </w:tc>
        <w:tc>
          <w:tcPr>
            <w:tcW w:type="dxa" w:w="5083"/>
            <w:tcMar>
              <w:top w:w="100" w:type="dxa"/>
              <w:left w:w="120" w:type="dxa"/>
              <w:bottom w:w="100" w:type="dxa"/>
              <w:right w:w="120" w:type="dxa"/>
            </w:tcMar>
            <w:vAlign w:val="center"/>
          </w:tcPr>
          <w:p>
            <w:pPr>
              <w:spacing w:after="40" w:line="247" w:lineRule="auto"/>
            </w:pPr>
            <w:r>
              <w:rPr>
                <w:sz w:val="16"/>
              </w:rPr>
            </w:r>
          </w:p>
        </w:tc>
      </w:tr>
      <w:tr>
        <w:tc>
          <w:tcPr>
            <w:tcW w:type="dxa" w:w="5083"/>
            <w:tcMar>
              <w:top w:w="100" w:type="dxa"/>
              <w:left w:w="120" w:type="dxa"/>
              <w:bottom w:w="100" w:type="dxa"/>
              <w:right w:w="120" w:type="dxa"/>
            </w:tcMar>
            <w:vAlign w:val="center"/>
            <w:shd w:fill="F5F7FA"/>
          </w:tcPr>
          <w:p>
            <w:pPr>
              <w:spacing w:after="40" w:line="247" w:lineRule="auto"/>
            </w:pPr>
            <w:r>
              <w:rPr>
                <w:sz w:val="16"/>
              </w:rPr>
              <w:t>Where would you require additional human review or approval?</w:t>
            </w:r>
          </w:p>
        </w:tc>
        <w:tc>
          <w:tcPr>
            <w:tcW w:type="dxa" w:w="5083"/>
            <w:tcMar>
              <w:top w:w="100" w:type="dxa"/>
              <w:left w:w="120" w:type="dxa"/>
              <w:bottom w:w="100" w:type="dxa"/>
              <w:right w:w="120" w:type="dxa"/>
            </w:tcMar>
            <w:vAlign w:val="center"/>
            <w:shd w:fill="F5F7FA"/>
          </w:tcPr>
          <w:p>
            <w:pPr>
              <w:spacing w:after="40" w:line="247" w:lineRule="auto"/>
            </w:pPr>
            <w:r>
              <w:rPr>
                <w:sz w:val="16"/>
              </w:rPr>
            </w:r>
          </w:p>
        </w:tc>
      </w:tr>
      <w:tr>
        <w:tc>
          <w:tcPr>
            <w:tcW w:type="dxa" w:w="5083"/>
            <w:tcMar>
              <w:top w:w="100" w:type="dxa"/>
              <w:left w:w="120" w:type="dxa"/>
              <w:bottom w:w="100" w:type="dxa"/>
              <w:right w:w="120" w:type="dxa"/>
            </w:tcMar>
            <w:vAlign w:val="center"/>
          </w:tcPr>
          <w:p>
            <w:pPr>
              <w:spacing w:after="40" w:line="247" w:lineRule="auto"/>
            </w:pPr>
            <w:r>
              <w:rPr>
                <w:sz w:val="16"/>
              </w:rPr>
              <w:t>Which part would save the most time in your current practice?</w:t>
            </w:r>
          </w:p>
        </w:tc>
        <w:tc>
          <w:tcPr>
            <w:tcW w:type="dxa" w:w="5083"/>
            <w:tcMar>
              <w:top w:w="100" w:type="dxa"/>
              <w:left w:w="120" w:type="dxa"/>
              <w:bottom w:w="100" w:type="dxa"/>
              <w:right w:w="120" w:type="dxa"/>
            </w:tcMar>
            <w:vAlign w:val="center"/>
          </w:tcPr>
          <w:p>
            <w:pPr>
              <w:spacing w:after="40" w:line="247" w:lineRule="auto"/>
            </w:pPr>
            <w:r>
              <w:rPr>
                <w:sz w:val="16"/>
              </w:rPr>
            </w:r>
          </w:p>
        </w:tc>
      </w:tr>
      <w:tr>
        <w:tc>
          <w:tcPr>
            <w:tcW w:type="dxa" w:w="5083"/>
            <w:tcMar>
              <w:top w:w="100" w:type="dxa"/>
              <w:left w:w="120" w:type="dxa"/>
              <w:bottom w:w="100" w:type="dxa"/>
              <w:right w:w="120" w:type="dxa"/>
            </w:tcMar>
            <w:vAlign w:val="center"/>
            <w:shd w:fill="F5F7FA"/>
          </w:tcPr>
          <w:p>
            <w:pPr>
              <w:spacing w:after="40" w:line="247" w:lineRule="auto"/>
            </w:pPr>
            <w:r>
              <w:rPr>
                <w:sz w:val="16"/>
              </w:rPr>
              <w:t>What would prevent lawyers in your firm from adopting this workflow?</w:t>
            </w:r>
          </w:p>
        </w:tc>
        <w:tc>
          <w:tcPr>
            <w:tcW w:type="dxa" w:w="5083"/>
            <w:tcMar>
              <w:top w:w="100" w:type="dxa"/>
              <w:left w:w="120" w:type="dxa"/>
              <w:bottom w:w="100" w:type="dxa"/>
              <w:right w:w="120" w:type="dxa"/>
            </w:tcMar>
            <w:vAlign w:val="center"/>
            <w:shd w:fill="F5F7FA"/>
          </w:tcPr>
          <w:p>
            <w:pPr>
              <w:spacing w:after="40" w:line="247" w:lineRule="auto"/>
            </w:pPr>
            <w:r>
              <w:rPr>
                <w:sz w:val="16"/>
              </w:rPr>
            </w:r>
          </w:p>
        </w:tc>
      </w:tr>
      <w:tr>
        <w:tc>
          <w:tcPr>
            <w:tcW w:type="dxa" w:w="5083"/>
            <w:tcMar>
              <w:top w:w="100" w:type="dxa"/>
              <w:left w:w="120" w:type="dxa"/>
              <w:bottom w:w="100" w:type="dxa"/>
              <w:right w:w="120" w:type="dxa"/>
            </w:tcMar>
            <w:vAlign w:val="center"/>
          </w:tcPr>
          <w:p>
            <w:pPr>
              <w:spacing w:after="40" w:line="247" w:lineRule="auto"/>
            </w:pPr>
            <w:r>
              <w:rPr>
                <w:sz w:val="16"/>
              </w:rPr>
              <w:t>What integration or customization would matter most?</w:t>
            </w:r>
          </w:p>
        </w:tc>
        <w:tc>
          <w:tcPr>
            <w:tcW w:type="dxa" w:w="5083"/>
            <w:tcMar>
              <w:top w:w="100" w:type="dxa"/>
              <w:left w:w="120" w:type="dxa"/>
              <w:bottom w:w="100" w:type="dxa"/>
              <w:right w:w="120" w:type="dxa"/>
            </w:tcMar>
            <w:vAlign w:val="center"/>
          </w:tcPr>
          <w:p>
            <w:pPr>
              <w:spacing w:after="40" w:line="247" w:lineRule="auto"/>
            </w:pPr>
            <w:r>
              <w:rPr>
                <w:sz w:val="16"/>
              </w:rPr>
            </w:r>
          </w:p>
        </w:tc>
      </w:tr>
    </w:tbl>
    <w:p>
      <w:pPr>
        <w:spacing w:after="20"/>
      </w:pPr>
    </w:p>
    <w:p>
      <w:pPr>
        <w:pStyle w:val="Heading2"/>
      </w:pPr>
      <w:r>
        <w:t>Suggested rating</w:t>
      </w:r>
    </w:p>
    <w:p>
      <w:r>
        <w:t>For workflow fit, evidence trust, usability, governance confidence, and likely time savings, provide a rating from 1 to 5 and one sentence explaining the rating.</w:t>
      </w:r>
    </w:p>
    <w:p>
      <w:pPr>
        <w:pStyle w:val="Heading2"/>
      </w:pPr>
      <w:r>
        <w:t>Return feedback</w:t>
      </w:r>
    </w:p>
    <w:p>
      <w:r>
        <w:t>Reply to the person who invited you with your notes, screenshots, or a marked copy of this guide. Please do not include client documents or confidential information.</w:t>
      </w:r>
    </w:p>
    <w:sectPr w:rsidR="00FC693F" w:rsidRPr="0006063C" w:rsidSect="00034616">
      <w:headerReference w:type="default" r:id="rId9"/>
      <w:footerReference w:type="default" r:id="rId10"/>
      <w:pgSz w:w="12240" w:h="15840"/>
      <w:pgMar w:top="1008"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tblLook w:firstColumn="1" w:firstRow="1" w:lastColumn="0" w:lastRow="0" w:noHBand="0" w:noVBand="1" w:val="04A0"/>
    </w:tblPr>
    <w:tblGrid>
      <w:gridCol w:w="5040"/>
      <w:gridCol w:w="5040"/>
    </w:tblGrid>
    <w:tr>
      <w:tc>
        <w:tcPr>
          <w:tcW w:type="dxa" w:w="5040"/>
        </w:tcPr>
        <w:p>
          <w:r>
            <w:rPr>
              <w:color w:val="486581"/>
              <w:sz w:val="14"/>
            </w:rPr>
            <w:t>Synthetic demonstration only  Not legal advice</w:t>
          </w:r>
        </w:p>
      </w:tc>
      <w:tc>
        <w:tcPr>
          <w:tcW w:type="dxa" w:w="5040"/>
        </w:tcPr>
        <w:p>
          <w:pPr>
            <w:jc w:val="right"/>
          </w:pPr>
          <w:r>
            <w:rPr>
              <w:sz w:val="16"/>
            </w:rPr>
            <w:t xml:space="preserve">Page </w:t>
          </w:r>
          <w:fldSimple w:instr="PAGE"/>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ook w:firstColumn="1" w:firstRow="1" w:lastColumn="0" w:lastRow="0" w:noHBand="0" w:noVBand="1" w:val="04A0"/>
    </w:tblPr>
    <w:tblGrid>
      <w:gridCol w:w="5040"/>
      <w:gridCol w:w="5040"/>
    </w:tblGrid>
    <w:tr>
      <w:tc>
        <w:tcPr>
          <w:tcW w:type="dxa" w:w="5040"/>
        </w:tcPr>
        <w:p>
          <w:r>
            <w:rPr>
              <w:b/>
              <w:color w:val="000000"/>
              <w:sz w:val="16"/>
            </w:rPr>
            <w:t>Governed Legal AI Studio</w:t>
          </w:r>
        </w:p>
      </w:tc>
      <w:tc>
        <w:tcPr>
          <w:tcW w:type="dxa" w:w="5040"/>
        </w:tcPr>
        <w:p>
          <w:pPr>
            <w:jc w:val="right"/>
          </w:pPr>
          <w:r>
            <w:rPr>
              <w:b/>
              <w:color w:val="000000"/>
              <w:sz w:val="16"/>
            </w:rPr>
            <w:t>Lawyer Pilot Guide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eastAsia="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40"/>
      <w:outlineLvl w:val="0"/>
    </w:pPr>
    <w:rPr>
      <w:rFonts w:asciiTheme="majorHAnsi" w:eastAsiaTheme="majorEastAsia" w:hAnsiTheme="majorHAnsi" w:cstheme="majorBidi" w:ascii="Arial" w:hAnsi="Arial" w:eastAsia="Arial" w:cs="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00" w:after="140"/>
      <w:outlineLvl w:val="1"/>
    </w:pPr>
    <w:rPr>
      <w:rFonts w:asciiTheme="majorHAnsi" w:eastAsiaTheme="majorEastAsia" w:hAnsiTheme="majorHAnsi" w:cstheme="majorBidi" w:ascii="Arial" w:hAnsi="Arial" w:eastAsia="Arial" w:cs="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100"/>
      <w:contextualSpacing/>
    </w:pPr>
    <w:rPr>
      <w:rFonts w:asciiTheme="majorHAnsi" w:eastAsiaTheme="majorEastAsia" w:hAnsiTheme="majorHAnsi" w:cstheme="majorBidi" w:ascii="Arial" w:hAnsi="Arial" w:eastAsia="Arial" w:cs="Arial"/>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cs="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Governed Legal AI Studio Lawyer Pilot Guide</dc:title>
  <dc:subject>Self guided evaluation of a governed multi agent legal contract review workflow</dc:subject>
  <dc:creator>Governed Legal AI Studio</dc:creator>
  <cp:keywords/>
  <dc:description>generated by python-docx</dc:description>
  <cp:lastModifiedBy/>
  <cp:revision>1</cp:revision>
  <dcterms:created xsi:type="dcterms:W3CDTF">2013-12-23T23:15:00Z</dcterms:created>
  <dcterms:modified xsi:type="dcterms:W3CDTF">2013-12-23T23:15:00Z</dcterms:modified>
  <cp:category/>
</cp:coreProperties>
</file>