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900"/>
      </w:pPr>
      <w:r>
        <w:rPr>
          <w:b/>
          <w:color w:val="0A8997"/>
          <w:sz w:val="20"/>
        </w:rPr>
        <w:t>ATTORNEY-APPROVED OPERATING STANDARD</w:t>
      </w:r>
    </w:p>
    <w:p>
      <w:pPr>
        <w:pStyle w:val="Title"/>
      </w:pPr>
      <w:r>
        <w:t>Lakefront DPA Review Playbook</w:t>
      </w:r>
    </w:p>
    <w:p>
      <w:pPr>
        <w:pStyle w:val="Subtitle"/>
      </w:pPr>
      <w:r>
        <w:rPr>
          <w:color w:val="486581"/>
        </w:rPr>
        <w:t>Version 3.2 · Privacy &amp; Cybersecurity Practice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Owner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Privacy Practice Leader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Approved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18 August 2026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Review cycle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Annual or upon material legal change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Applies to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Vendor DPAs where the firm's client is Controller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Supersedes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Version 3.1</w:t>
            </w:r>
          </w:p>
        </w:tc>
      </w:tr>
      <w:tr>
        <w:tc>
          <w:tcPr>
            <w:tcW w:type="dxa" w:w="2448"/>
            <w:shd w:fill="F4F7FA"/>
            <w:vAlign w:val="center"/>
          </w:tcPr>
          <w:p>
            <w:pPr>
              <w:spacing w:after="60" w:before="60"/>
            </w:pPr>
            <w:r>
              <w:rPr>
                <w:b/>
              </w:rPr>
              <w:t>Status</w:t>
            </w:r>
          </w:p>
        </w:tc>
        <w:tc>
          <w:tcPr>
            <w:tcW w:type="dxa" w:w="7056"/>
            <w:vAlign w:val="center"/>
          </w:tcPr>
          <w:p>
            <w:pPr>
              <w:spacing w:after="60" w:before="60"/>
            </w:pPr>
            <w:r>
              <w:t>Approved for pilot use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4F5"/>
          </w:tcPr>
          <w:p>
            <w:r>
              <w:rPr>
                <w:b/>
              </w:rPr>
              <w:t xml:space="preserve">Training notice. </w:t>
            </w:r>
            <w:r>
              <w:t>All parties, facts, clauses, dates, and outcomes in this document are fictional. Use only for demonstration and evaluation.</w:t>
            </w:r>
          </w:p>
        </w:tc>
      </w:tr>
    </w:tbl>
    <w:p>
      <w:r>
        <w:br w:type="page"/>
      </w:r>
    </w:p>
    <w:p>
      <w:r>
        <w:rPr>
          <w:b/>
          <w:color w:val="0A8997"/>
          <w:sz w:val="16"/>
        </w:rPr>
        <w:t>PAGE 2 · OPERATING MODEL</w:t>
      </w:r>
    </w:p>
    <w:p>
      <w:pPr>
        <w:pStyle w:val="Heading1"/>
      </w:pPr>
      <w:r>
        <w:t>1. Review method and authority</w:t>
      </w:r>
    </w:p>
    <w:p>
      <w:pPr>
        <w:pStyle w:val="Heading2"/>
      </w:pPr>
      <w:r>
        <w:t>Purpose</w:t>
      </w:r>
    </w:p>
    <w:p>
      <w:r>
        <w:t>This playbook converts recurring attorney judgment into review instructions. It does not replace matter-specific legal analysis. Every released finding must cite the contract and the controlling playbook rule.</w:t>
      </w:r>
    </w:p>
    <w:p>
      <w:pPr>
        <w:pStyle w:val="Heading2"/>
      </w:pPr>
      <w:r>
        <w:t>Required workflow</w:t>
      </w:r>
    </w:p>
    <w:p>
      <w:pPr>
        <w:pStyle w:val="ListBullet"/>
        <w:spacing w:after="40"/>
      </w:pPr>
      <w:r>
        <w:t>Classify the document and client role.</w:t>
      </w:r>
    </w:p>
    <w:p>
      <w:pPr>
        <w:pStyle w:val="ListBullet"/>
        <w:spacing w:after="40"/>
      </w:pPr>
      <w:r>
        <w:t>Extract exact clause text with page evidence.</w:t>
      </w:r>
    </w:p>
    <w:p>
      <w:pPr>
        <w:pStyle w:val="ListBullet"/>
        <w:spacing w:after="40"/>
      </w:pPr>
      <w:r>
        <w:t>Compare only to approved rules.</w:t>
      </w:r>
    </w:p>
    <w:p>
      <w:pPr>
        <w:pStyle w:val="ListBullet"/>
        <w:spacing w:after="40"/>
      </w:pPr>
      <w:r>
        <w:t>Have an independent evidence reviewer challenge each conclusion.</w:t>
      </w:r>
    </w:p>
    <w:p>
      <w:pPr>
        <w:pStyle w:val="ListBullet"/>
        <w:spacing w:after="40"/>
      </w:pPr>
      <w:r>
        <w:t>Route proposed language to an attorney; never send it externally without approval.</w:t>
      </w:r>
    </w:p>
    <w:p>
      <w:pPr>
        <w:pStyle w:val="Heading2"/>
      </w:pPr>
      <w:r>
        <w:t>Severity definitions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Critical  Immediate escalation</w:t>
            </w:r>
          </w:p>
          <w:p>
            <w:pPr>
              <w:spacing w:after="100"/>
            </w:pPr>
            <w:r>
              <w:t>A deviation creates substantial regulatory, security, or business-continuity exposure and should block approval until counsel decides.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High  Negotiation required</w:t>
            </w:r>
          </w:p>
          <w:p>
            <w:pPr>
              <w:spacing w:after="100"/>
            </w:pPr>
            <w:r>
              <w:t>A material deviation from the standard position that normally requires remediation or express risk acceptance.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Medium  Commercial judgment</w:t>
            </w:r>
          </w:p>
          <w:p>
            <w:pPr>
              <w:spacing w:after="100"/>
            </w:pPr>
            <w:r>
              <w:t>A meaningful but context-dependent variance routed to the designated partner.</w:t>
            </w:r>
          </w:p>
        </w:tc>
      </w:tr>
    </w:tbl>
    <w:p>
      <w:r>
        <w:br w:type="page"/>
      </w:r>
    </w:p>
    <w:p>
      <w:r>
        <w:rPr>
          <w:b/>
          <w:color w:val="0A8997"/>
          <w:sz w:val="16"/>
        </w:rPr>
        <w:t>PAGE 3 · MANDATORY RULES</w:t>
      </w:r>
    </w:p>
    <w:p>
      <w:pPr>
        <w:pStyle w:val="Heading1"/>
      </w:pPr>
      <w:r>
        <w:t>2. Security, subprocessors, and deletion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PB-014  Security incident notice</w:t>
            </w:r>
          </w:p>
          <w:p>
            <w:pPr>
              <w:spacing w:after="100"/>
            </w:pPr>
            <w:r>
              <w:t>Require notice without undue delay and no later than 72 hours after discovery of an actual or reasonably suspected incident affecting client data. A longer fixed period is Critical. A trigger based only on confirmation is also a deviation.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PB-021  Subprocessor change control</w:t>
            </w:r>
          </w:p>
          <w:p>
            <w:pPr>
              <w:spacing w:after="100"/>
            </w:pPr>
            <w:r>
              <w:t>Require at least 30 days' prior written notice and a right to object on reasonable data-protection grounds. Website-only notice without an objection mechanism is High.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PB-033  Backup deletion</w:t>
            </w:r>
          </w:p>
          <w:p>
            <w:pPr>
              <w:spacing w:after="100"/>
            </w:pPr>
            <w:r>
              <w:t>Allow inaccessible disaster-recovery copies for no more than 90 days after active deletion. Copies must remain protected and unused except for recovery. A 91–120 day period is Medium; an open-ended ordinary-course exception is High.</w:t>
            </w:r>
          </w:p>
        </w:tc>
      </w:tr>
    </w:tbl>
    <w:p>
      <w:r>
        <w:br w:type="page"/>
      </w:r>
    </w:p>
    <w:p>
      <w:r>
        <w:rPr>
          <w:b/>
          <w:color w:val="0A8997"/>
          <w:sz w:val="16"/>
        </w:rPr>
        <w:t>PAGE 4 · MANDATORY RULES</w:t>
      </w:r>
    </w:p>
    <w:p>
      <w:pPr>
        <w:pStyle w:val="Heading1"/>
      </w:pPr>
      <w:r>
        <w:t>3. Liability, audit, and transfers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PB-041  Enhanced liability protection</w:t>
            </w:r>
          </w:p>
          <w:p>
            <w:pPr>
              <w:spacing w:after="100"/>
            </w:pPr>
            <w:r>
              <w:t>Require a separate cap of at least two times fees paid or payable in the preceding 12 months for confidentiality, security, and data-protection obligations. A lower cap is Medium unless matter facts justify escalation.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PB-052  Audit evidence</w:t>
            </w:r>
          </w:p>
          <w:p>
            <w:pPr>
              <w:spacing w:after="100"/>
            </w:pPr>
            <w:r>
              <w:t>Require current independent assurance evidence and a right to receive remediation status. Onsite audit rights may be reserved for material incidents or unresolved findings.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</w:tcPr>
          <w:p>
            <w:r>
              <w:rPr>
                <w:b/>
                <w:color w:val="102A43"/>
              </w:rPr>
              <w:t>PB-061  Restricted transfers</w:t>
            </w:r>
          </w:p>
          <w:p>
            <w:pPr>
              <w:spacing w:after="100"/>
            </w:pPr>
            <w:r>
              <w:t>Transfers must use an approved legal mechanism and supplementary measures where required. Do not infer adequacy or governing law from a party's address.</w:t>
            </w:r>
          </w:p>
        </w:tc>
      </w:tr>
    </w:tbl>
    <w:p>
      <w:pPr>
        <w:pStyle w:val="Heading2"/>
      </w:pPr>
      <w:r>
        <w:t>Attorney gate</w:t>
      </w:r>
    </w:p>
    <w:p>
      <w:r>
        <w:t>Only an attorney may accept a deviation, approve final redlines, characterize legal compliance, or authorize communication to a client, counterparty, regulator, or court.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</w:tcPr>
        <w:p>
          <w:r>
            <w:rPr>
              <w:b/>
              <w:color w:val="486581"/>
              <w:sz w:val="14"/>
            </w:rPr>
            <w:t>SYNTHETIC TRAINING DOCUMENT · NOT LEGAL ADVICE</w:t>
          </w:r>
        </w:p>
      </w:tc>
      <w:tc>
        <w:tcPr>
          <w:tcW w:type="dxa" w:w="5040"/>
        </w:tcPr>
        <w:p>
          <w:pPr>
            <w:jc w:val="right"/>
          </w:pPr>
          <w:r>
            <w:rPr>
              <w:sz w:val="16"/>
            </w:rPr>
            <w:t xml:space="preserve">Page </w:t>
          </w:r>
          <w:fldSimple w:instr="PAGE"/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</w:tblPr>
    <w:tblGrid>
      <w:gridCol w:w="7776"/>
      <w:gridCol w:w="2304"/>
    </w:tblGrid>
    <w:tr>
      <w:tc>
        <w:tcPr>
          <w:tcW w:type="dxa" w:w="5040"/>
        </w:tcPr>
        <w:p>
          <w:r>
            <w:rPr>
              <w:b/>
              <w:color w:val="102A43"/>
              <w:sz w:val="16"/>
            </w:rPr>
            <w:t>Lakefront DPA Review Playbook</w:t>
          </w:r>
        </w:p>
      </w:tc>
      <w:tc>
        <w:tcPr>
          <w:tcW w:type="dxa" w:w="5040"/>
        </w:tcPr>
        <w:p>
          <w:pPr>
            <w:jc w:val="right"/>
          </w:pPr>
          <w:r>
            <w:rPr>
              <w:b/>
              <w:color w:val="0A8997"/>
              <w:sz w:val="16"/>
            </w:rPr>
            <w:t>PB-DPA-3.2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 w:cs="Arial"/>
      <w:color w:val="102A4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12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102A4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12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A899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80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102A43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Arial" w:cs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Lakefront DPA Playbook v3 2 Synthetic</dc:title>
  <dc:subject>Synthetic legal AI demonstration artifact</dc:subject>
  <dc:creator>Governed Legal AI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