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</w:pPr>
      <w:r>
        <w:rPr>
          <w:b/>
          <w:color w:val="0A8997"/>
          <w:sz w:val="20"/>
        </w:rPr>
        <w:t>FIRM GOVERNANCE</w:t>
      </w:r>
    </w:p>
    <w:p>
      <w:pPr>
        <w:pStyle w:val="Title"/>
      </w:pPr>
      <w:r>
        <w:t>Responsible AI Use and Human Review Policy</w:t>
      </w:r>
    </w:p>
    <w:p>
      <w:pPr>
        <w:pStyle w:val="Subtitle"/>
      </w:pPr>
      <w:r>
        <w:rPr>
          <w:color w:val="486581"/>
        </w:rPr>
        <w:t>Lakefront Legal · Version 2.0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Policy owner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General Counsel and AI Governance Committee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Effective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1 September 2026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Applies to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Personnel, contractors, and approved AI service providers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Classification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Internal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Review cycle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Semiannual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Status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Approved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5"/>
          </w:tcPr>
          <w:p>
            <w:r>
              <w:rPr>
                <w:b/>
              </w:rPr>
              <w:t xml:space="preserve">Training notice. </w:t>
            </w:r>
            <w:r>
              <w:t>All parties, facts, clauses, dates, and outcomes in this document are fictional. Use only for demonstration and evaluation.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2 · PERMITTED USE</w:t>
      </w:r>
    </w:p>
    <w:p>
      <w:pPr>
        <w:pStyle w:val="Heading1"/>
      </w:pPr>
      <w:r>
        <w:t>1. Approved activities and data handling</w:t>
      </w:r>
    </w:p>
    <w:p>
      <w:pPr>
        <w:pStyle w:val="Heading2"/>
      </w:pPr>
      <w:r>
        <w:t>Permitted with approved systems</w:t>
      </w:r>
    </w:p>
    <w:p>
      <w:pPr>
        <w:pStyle w:val="ListBullet"/>
        <w:spacing w:after="40"/>
      </w:pPr>
      <w:r>
        <w:t>Classify documents and extract clauses with verifiable source references.</w:t>
      </w:r>
    </w:p>
    <w:p>
      <w:pPr>
        <w:pStyle w:val="ListBullet"/>
        <w:spacing w:after="40"/>
      </w:pPr>
      <w:r>
        <w:t>Compare contract language to an attorney-approved playbook.</w:t>
      </w:r>
    </w:p>
    <w:p>
      <w:pPr>
        <w:pStyle w:val="ListBullet"/>
        <w:spacing w:after="40"/>
      </w:pPr>
      <w:r>
        <w:t>Draft internal alternatives clearly labeled for attorney review.</w:t>
      </w:r>
    </w:p>
    <w:p>
      <w:pPr>
        <w:pStyle w:val="ListBullet"/>
        <w:spacing w:after="40"/>
      </w:pPr>
      <w:r>
        <w:t>Summarize non-privileged materials and prepare administrative work product.</w:t>
      </w:r>
    </w:p>
    <w:p>
      <w:pPr>
        <w:pStyle w:val="Heading2"/>
      </w:pPr>
      <w:r>
        <w:t>Confidentiality and privilege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AI-101  Approved environment</w:t>
            </w:r>
          </w:p>
          <w:p>
            <w:pPr>
              <w:spacing w:after="100"/>
            </w:pPr>
            <w:r>
              <w:t>Client or confidential information may be processed only in an approved environment with contractual protections, access controls, retention limits, and matter authorization.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AI-102  Minimum necessary</w:t>
            </w:r>
          </w:p>
          <w:p>
            <w:pPr>
              <w:spacing w:after="100"/>
            </w:pPr>
            <w:r>
              <w:t>Users shall provide the minimum data necessary and shall not include unrelated personal, privileged, sealed, or highly sensitive data.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AI-103  No training by default</w:t>
            </w:r>
          </w:p>
          <w:p>
            <w:pPr>
              <w:spacing w:after="100"/>
            </w:pPr>
            <w:r>
              <w:t>Client inputs and outputs may not be used to train general models unless specifically approved in writing by the client and the firm.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3 · HUMAN ACCOUNTABILITY</w:t>
      </w:r>
    </w:p>
    <w:p>
      <w:pPr>
        <w:pStyle w:val="Heading1"/>
      </w:pPr>
      <w:r>
        <w:t>2. Verification and prohibited uses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AI-201  Attorney verification</w:t>
            </w:r>
          </w:p>
          <w:p>
            <w:pPr>
              <w:spacing w:after="100"/>
            </w:pPr>
            <w:r>
              <w:t>A qualified attorney must verify quotations, citations, legal propositions, deadlines, conclusions, and final language before reliance or external use.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AI-202  Prohibited autonomy</w:t>
            </w:r>
          </w:p>
          <w:p>
            <w:pPr>
              <w:spacing w:after="100"/>
            </w:pPr>
            <w:r>
              <w:t>AI may not independently provide legal advice, accept risk, file with a tribunal, communicate with a client or counterparty, or make a final eligibility, employment, credit, or legal-rights decision.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AI-203  Source grounding</w:t>
            </w:r>
          </w:p>
          <w:p>
            <w:pPr>
              <w:spacing w:after="100"/>
            </w:pPr>
            <w:r>
              <w:t>Generated factual or legal claims must be traceable to an approved source. Unsupported assertions must be withheld or clearly escalated.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AI-204  Disclosure</w:t>
            </w:r>
          </w:p>
          <w:p>
            <w:pPr>
              <w:spacing w:after="100"/>
            </w:pPr>
            <w:r>
              <w:t>Use shall be disclosed when required by law, court rule, engagement terms, firm policy, or client instruction.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4 · OVERSIGHT</w:t>
      </w:r>
    </w:p>
    <w:p>
      <w:pPr>
        <w:pStyle w:val="Heading1"/>
      </w:pPr>
      <w:r>
        <w:t>3. Records, monitoring, and incidents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AI-301  Audit record</w:t>
            </w:r>
          </w:p>
          <w:p>
            <w:pPr>
              <w:spacing w:after="100"/>
            </w:pPr>
            <w:r>
              <w:t>The system shall record user, matter, model configuration, source set, prompt version, outputs, agent challenges, attorney decisions, and timestamps, subject to retention policy.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AI-302  Evaluation</w:t>
            </w:r>
          </w:p>
          <w:p>
            <w:pPr>
              <w:spacing w:after="100"/>
            </w:pPr>
            <w:r>
              <w:t>Before production use, owners shall test representative matters for critical-issue recall, citation accuracy, harmful overstatement, privilege risk, and attorney acceptance.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AI-303  Incident response</w:t>
            </w:r>
          </w:p>
          <w:p>
            <w:pPr>
              <w:spacing w:after="100"/>
            </w:pPr>
            <w:r>
              <w:t>Users shall stop use and report suspected confidentiality exposure, material hallucination, unauthorized communication, or access-control failure to the AI Governance Committee.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AI-304  Change control</w:t>
            </w:r>
          </w:p>
          <w:p>
            <w:pPr>
              <w:spacing w:after="100"/>
            </w:pPr>
            <w:r>
              <w:t>Material model, prompt, retrieval, data-source, or playbook changes require documented testing and approval before release.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rPr>
              <w:b/>
              <w:color w:val="486581"/>
              <w:sz w:val="14"/>
            </w:rPr>
            <w:t>SYNTHETIC TRAINING DOCUMENT · NOT LEGAL ADVICE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sz w:val="16"/>
            </w:rPr>
            <w:t xml:space="preserve">Page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7776"/>
      <w:gridCol w:w="2304"/>
    </w:tblGrid>
    <w:tr>
      <w:tc>
        <w:tcPr>
          <w:tcW w:type="dxa" w:w="5040"/>
        </w:tcPr>
        <w:p>
          <w:r>
            <w:rPr>
              <w:b/>
              <w:color w:val="102A43"/>
              <w:sz w:val="16"/>
            </w:rPr>
            <w:t>Responsible AI Use and Human Review Policy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b/>
              <w:color w:val="0A8997"/>
              <w:sz w:val="16"/>
            </w:rPr>
            <w:t>AI-POL-2.0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 w:cs="Arial"/>
      <w:color w:val="102A4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102A4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12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A899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80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102A43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Lakefront Responsible AI Policy Synthetic</dc:title>
  <dc:subject>Synthetic legal AI demonstration artifact</dc:subject>
  <dc:creator>Governed Legal AI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