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b/>
          <w:color w:val="0A8997"/>
          <w:sz w:val="20"/>
        </w:rPr>
        <w:t>SYNTHETIC VENDOR PAPER</w:t>
      </w:r>
    </w:p>
    <w:p>
      <w:pPr>
        <w:pStyle w:val="Title"/>
      </w:pPr>
      <w:r>
        <w:t>Northwind Health Vendor DPA</w:t>
      </w:r>
    </w:p>
    <w:p>
      <w:pPr>
        <w:pStyle w:val="Subtitle"/>
      </w:pPr>
      <w:r>
        <w:rPr>
          <w:color w:val="486581"/>
        </w:rPr>
        <w:t>Data Processing Addendum</w:t>
      </w:r>
    </w:p>
    <w:p>
      <w:r>
        <w:rPr>
          <w:b/>
          <w:color w:val="A52F27"/>
          <w:sz w:val="18"/>
        </w:rPr>
        <w:t>DESIGNED RISK PROFILE: MATERIAL DEVIATIONS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Matter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MAT-2026-017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Controller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Northwind Health Services, Inc.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Processor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Alpine Systems LLC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Effective date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24 September 2026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Governing agreement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Cloud Services Agreement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Review posture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Vendor paper · New procurement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5"/>
          </w:tcPr>
          <w:p>
            <w:r>
              <w:rPr>
                <w:b/>
              </w:rPr>
              <w:t xml:space="preserve">Training notice. </w:t>
            </w:r>
            <w:r>
              <w:t>All parties, facts, clauses, dates, and outcomes in this document are fictional. Use only for demonstration and evaluation.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2 · CONTRACT TERMS</w:t>
      </w:r>
    </w:p>
    <w:p>
      <w:pPr>
        <w:pStyle w:val="Heading1"/>
      </w:pPr>
      <w:r>
        <w:t>1. Scope and definitions</w:t>
      </w:r>
    </w:p>
    <w:p>
      <w:r>
        <w:rPr>
          <w:color w:val="486581"/>
        </w:rPr>
        <w:t>This Addendum governs Processor's handling of Personal Data for the Services.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1.1  Roles</w:t>
            </w:r>
          </w:p>
          <w:p>
            <w:pPr>
              <w:spacing w:after="100"/>
            </w:pPr>
            <w:r>
              <w:t>Northwind Health Services, Inc. is Controller and Alpine Systems LLC is Processor for Personal Data described in Schedule 1.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1.2  Instructions</w:t>
            </w:r>
          </w:p>
          <w:p>
            <w:pPr>
              <w:spacing w:after="100"/>
            </w:pPr>
            <w:r>
              <w:t>Processor shall process Personal Data only on documented instructions, including transfers, unless applicable law requires otherwise.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1.3  Confidentiality</w:t>
            </w:r>
          </w:p>
          <w:p>
            <w:pPr>
              <w:spacing w:after="100"/>
            </w:pPr>
            <w:r>
              <w:t>Processor shall ensure persons authorized to process Personal Data are bound by confidentiality obligations.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2.1  Purpose limitation</w:t>
            </w:r>
          </w:p>
          <w:p>
            <w:pPr>
              <w:spacing w:after="100"/>
            </w:pPr>
            <w:r>
              <w:t>Processing is limited to hosting, support, security, and analytics necessary to deliver the Services.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2.2  Data subjects</w:t>
            </w:r>
          </w:p>
          <w:p>
            <w:pPr>
              <w:spacing w:after="100"/>
            </w:pPr>
            <w:r>
              <w:t>Authorized users, client personnel, patients, and business contacts as configured by Controller.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3 · CONTRACT TERMS</w:t>
      </w:r>
    </w:p>
    <w:p>
      <w:pPr>
        <w:pStyle w:val="Heading1"/>
      </w:pPr>
      <w:r>
        <w:t>3. Subprocessors</w:t>
      </w:r>
    </w:p>
    <w:p>
      <w:r>
        <w:rPr>
          <w:color w:val="486581"/>
        </w:rPr>
        <w:t>Changes to the processing chain may create operational and regulatory exposure.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CEDEA"/>
          </w:tcPr>
          <w:p>
            <w:r>
              <w:rPr>
                <w:b/>
                <w:color w:val="102A43"/>
              </w:rPr>
              <w:t>3.1  Authorization</w:t>
            </w:r>
            <w:r>
              <w:rPr>
                <w:b/>
                <w:color w:val="A52F27"/>
                <w:sz w:val="14"/>
              </w:rPr>
              <w:t xml:space="preserve">    MATERIAL DEVIATION</w:t>
            </w:r>
          </w:p>
          <w:p>
            <w:pPr>
              <w:spacing w:after="100"/>
            </w:pPr>
            <w:r>
              <w:t>Processor may appoint additional subprocessors by updating the list available on its website. Continued use of the Services constitutes acceptance.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3.2  Flow-down terms</w:t>
            </w:r>
          </w:p>
          <w:p>
            <w:pPr>
              <w:spacing w:after="100"/>
            </w:pPr>
            <w:r>
              <w:t>Processor shall impose data protection obligations materially equivalent to this Addendum and remains responsible for each subprocessor's performance.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3.3  Current list</w:t>
            </w:r>
          </w:p>
          <w:p>
            <w:pPr>
              <w:spacing w:after="100"/>
            </w:pPr>
            <w:r>
              <w:t>The current subprocessor list will identify the entity, location, and processing purpose.</w:t>
            </w:r>
          </w:p>
        </w:tc>
      </w:tr>
    </w:tbl>
    <w:p>
      <w:pPr>
        <w:pStyle w:val="Heading2"/>
      </w:pPr>
      <w:r>
        <w:t>Operational note</w:t>
      </w:r>
    </w:p>
    <w:p>
      <w:r>
        <w:t>No advance written notice period or express objection right is provided.</w:t>
      </w:r>
    </w:p>
    <w:p>
      <w:r>
        <w:br w:type="page"/>
      </w:r>
    </w:p>
    <w:p>
      <w:r>
        <w:rPr>
          <w:b/>
          <w:color w:val="0A8997"/>
          <w:sz w:val="16"/>
        </w:rPr>
        <w:t>PAGE 4 · CONTRACT TERMS</w:t>
      </w:r>
    </w:p>
    <w:p>
      <w:pPr>
        <w:pStyle w:val="Heading1"/>
      </w:pPr>
      <w:r>
        <w:t>4. Security and incidents</w:t>
      </w:r>
    </w:p>
    <w:p>
      <w:r>
        <w:rPr>
          <w:color w:val="486581"/>
        </w:rPr>
        <w:t>The parties allocate responsibilities for safeguards, investigation, and notice.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4.1  Security program</w:t>
            </w:r>
          </w:p>
          <w:p>
            <w:pPr>
              <w:spacing w:after="100"/>
            </w:pPr>
            <w:r>
              <w:t>Processor shall maintain administrative, physical, and technical safeguards appropriate to the nature of the Personal Data and risk of processing.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CEDEA"/>
          </w:tcPr>
          <w:p>
            <w:r>
              <w:rPr>
                <w:b/>
                <w:color w:val="102A43"/>
              </w:rPr>
              <w:t>4.2  Security incident notice</w:t>
            </w:r>
            <w:r>
              <w:rPr>
                <w:b/>
                <w:color w:val="A52F27"/>
                <w:sz w:val="14"/>
              </w:rPr>
              <w:t xml:space="preserve">    MATERIAL DEVIATION</w:t>
            </w:r>
          </w:p>
          <w:p>
            <w:pPr>
              <w:spacing w:after="100"/>
            </w:pPr>
            <w:r>
              <w:t>Processor shall notify Controller without undue delay and in no event later than one hundred twenty (120) hours after confirmation of a Security Incident.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4.3  Cooperation</w:t>
            </w:r>
          </w:p>
          <w:p>
            <w:pPr>
              <w:spacing w:after="100"/>
            </w:pPr>
            <w:r>
              <w:t>Processor shall investigate, mitigate, preserve relevant evidence, and provide information reasonably requested for Controller's response.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4.4  No admission</w:t>
            </w:r>
          </w:p>
          <w:p>
            <w:pPr>
              <w:spacing w:after="100"/>
            </w:pPr>
            <w:r>
              <w:t>Incident notice does not constitute an admission of fault or liability.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5 · CONTRACT TERMS</w:t>
      </w:r>
    </w:p>
    <w:p>
      <w:pPr>
        <w:pStyle w:val="Heading1"/>
      </w:pPr>
      <w:r>
        <w:t>5. Return, deletion, and assistance</w:t>
      </w:r>
    </w:p>
    <w:p>
      <w:r>
        <w:rPr>
          <w:color w:val="486581"/>
        </w:rPr>
        <w:t>Deletion obligations must remain testable after termination.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5.1  Return or deletion</w:t>
            </w:r>
          </w:p>
          <w:p>
            <w:pPr>
              <w:spacing w:after="100"/>
            </w:pPr>
            <w:r>
              <w:t>At Controller's election, Processor shall return or delete active copies of Personal Data within thirty days after termination.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CEDEA"/>
          </w:tcPr>
          <w:p>
            <w:r>
              <w:rPr>
                <w:b/>
                <w:color w:val="102A43"/>
              </w:rPr>
              <w:t>5.2  Backup copies</w:t>
            </w:r>
            <w:r>
              <w:rPr>
                <w:b/>
                <w:color w:val="A52F27"/>
                <w:sz w:val="14"/>
              </w:rPr>
              <w:t xml:space="preserve">    MATERIAL DEVIATION</w:t>
            </w:r>
          </w:p>
          <w:p>
            <w:pPr>
              <w:spacing w:after="100"/>
            </w:pPr>
            <w:r>
              <w:t>Data retained in routine backup systems may be preserved until deleted in the ordinary course of business.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5.3  Data subject requests</w:t>
            </w:r>
          </w:p>
          <w:p>
            <w:pPr>
              <w:spacing w:after="100"/>
            </w:pPr>
            <w:r>
              <w:t>Processor shall provide reasonable assistance with access, correction, deletion, and objection requests, taking into account the nature of processing.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5.4  Regulatory inquiries</w:t>
            </w:r>
          </w:p>
          <w:p>
            <w:pPr>
              <w:spacing w:after="100"/>
            </w:pPr>
            <w:r>
              <w:t>Processor shall notify Controller of a regulator request unless prohibited by law.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6 · CONTRACT TERMS</w:t>
      </w:r>
    </w:p>
    <w:p>
      <w:pPr>
        <w:pStyle w:val="Heading1"/>
      </w:pPr>
      <w:r>
        <w:t>6. Liability, audit, and transfers</w:t>
      </w:r>
    </w:p>
    <w:p>
      <w:r>
        <w:rPr>
          <w:color w:val="486581"/>
        </w:rPr>
        <w:t>Commercial remedies and verification rights determine the practical enforceability of the Addendum.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5E5"/>
          </w:tcPr>
          <w:p>
            <w:r>
              <w:rPr>
                <w:b/>
                <w:color w:val="102A43"/>
              </w:rPr>
              <w:t>6.1  Liability</w:t>
            </w:r>
            <w:r>
              <w:rPr>
                <w:b/>
                <w:color w:val="8B5508"/>
                <w:sz w:val="14"/>
              </w:rPr>
              <w:t xml:space="preserve">    REVIEW REQUIRED</w:t>
            </w:r>
          </w:p>
          <w:p>
            <w:pPr>
              <w:spacing w:after="100"/>
            </w:pPr>
            <w:r>
              <w:t>Each party's aggregate liability under this Addendum shall not exceed fees paid during the six months preceding the event giving rise to liability.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6.2  Audit evidence</w:t>
            </w:r>
          </w:p>
          <w:p>
            <w:pPr>
              <w:spacing w:after="100"/>
            </w:pPr>
            <w:r>
              <w:t>Upon written request, Processor will provide its then-current SOC 2 Type II report, subject to confidentiality.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6.3  International transfers</w:t>
            </w:r>
          </w:p>
          <w:p>
            <w:pPr>
              <w:spacing w:after="100"/>
            </w:pPr>
            <w:r>
              <w:t>Processor may transfer Personal Data to listed processing locations using the Standard Contractual Clauses where required.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6.4  Order of precedence</w:t>
            </w:r>
          </w:p>
          <w:p>
            <w:pPr>
              <w:spacing w:after="100"/>
            </w:pPr>
            <w:r>
              <w:t>This Addendum controls over conflicting terms of the governing agreement for Personal Data processing.</w:t>
            </w:r>
          </w:p>
        </w:tc>
      </w:tr>
    </w:tbl>
    <w:p>
      <w:pPr>
        <w:pStyle w:val="Heading2"/>
      </w:pPr>
      <w:r>
        <w:t>Signatures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</w:tcPr>
          <w:p>
            <w:r>
              <w:t>Northwind Health Services, Inc.</w:t>
              <w:br/>
              <w:t>By: ____________________</w:t>
            </w:r>
          </w:p>
        </w:tc>
        <w:tc>
          <w:tcPr>
            <w:tcW w:type="dxa" w:w="5083"/>
          </w:tcPr>
          <w:p>
            <w:r>
              <w:t>Alpine Systems LLC</w:t>
              <w:br/>
              <w:t>By: ____________________</w:t>
            </w:r>
          </w:p>
        </w:tc>
      </w:tr>
      <w:tr>
        <w:tc>
          <w:tcPr>
            <w:tcW w:type="dxa" w:w="5083"/>
          </w:tcPr>
          <w:p>
            <w:r>
              <w:t>Name / Title: ____________________</w:t>
            </w:r>
          </w:p>
        </w:tc>
        <w:tc>
          <w:tcPr>
            <w:tcW w:type="dxa" w:w="5083"/>
          </w:tcPr>
          <w:p>
            <w:r>
              <w:t>Name / Title: 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rPr>
              <w:b/>
              <w:color w:val="486581"/>
              <w:sz w:val="14"/>
            </w:rPr>
            <w:t>SYNTHETIC TRAINING DOCUMENT · NOT LEGAL ADVICE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7776"/>
      <w:gridCol w:w="2304"/>
    </w:tblGrid>
    <w:tr>
      <w:tc>
        <w:tcPr>
          <w:tcW w:type="dxa" w:w="5040"/>
        </w:tcPr>
        <w:p>
          <w:r>
            <w:rPr>
              <w:b/>
              <w:color w:val="102A43"/>
              <w:sz w:val="16"/>
            </w:rPr>
            <w:t>Northwind Health Vendor DPA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b/>
              <w:color w:val="0A8997"/>
              <w:sz w:val="16"/>
            </w:rPr>
            <w:t>MAT-2026-017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 w:cs="Arial"/>
      <w:color w:val="102A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2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A899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8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02A4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Northwind Health Vendor DPA Synthetic</dc:title>
  <dc:subject>Synthetic legal AI demonstration artifact</dc:subject>
  <dc:creator>Governed Legal AI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