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pPr>
      <w:r>
        <w:rPr>
          <w:b/>
          <w:color w:val="0A8997"/>
          <w:sz w:val="20"/>
        </w:rPr>
        <w:t>AI GOVERNANCE AND ASSURANCE</w:t>
      </w:r>
    </w:p>
    <w:p>
      <w:pPr>
        <w:pStyle w:val="Title"/>
      </w:pPr>
      <w:r>
        <w:t>SERVE Legal AI Assurance Profile</w:t>
      </w:r>
    </w:p>
    <w:p>
      <w:pPr>
        <w:pStyle w:val="Subtitle"/>
      </w:pPr>
      <w:r>
        <w:t>Governed contract review pilot  Version 1.0</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tblHeader w:val="true"/>
        </w:trPr>
        <w:tc>
          <w:tcPr>
            <w:tcW w:type="dxa" w:w="2448"/>
            <w:shd w:fill="102A43"/>
            <w:tcMar>
              <w:top w:w="105" w:type="dxa"/>
              <w:left w:w="120" w:type="dxa"/>
              <w:bottom w:w="105" w:type="dxa"/>
              <w:right w:w="120" w:type="dxa"/>
            </w:tcMar>
            <w:vAlign w:val="center"/>
          </w:tcPr>
          <w:p>
            <w:r>
              <w:rPr>
                <w:b/>
                <w:color w:val="FFFFFF"/>
                <w:sz w:val="18"/>
              </w:rPr>
              <w:t>Profile field</w:t>
            </w:r>
          </w:p>
        </w:tc>
        <w:tc>
          <w:tcPr>
            <w:tcW w:type="dxa" w:w="7200"/>
            <w:shd w:fill="102A43"/>
            <w:tcMar>
              <w:top w:w="105" w:type="dxa"/>
              <w:left w:w="120" w:type="dxa"/>
              <w:bottom w:w="105" w:type="dxa"/>
              <w:right w:w="120" w:type="dxa"/>
            </w:tcMar>
            <w:vAlign w:val="center"/>
          </w:tcPr>
          <w:p>
            <w:r>
              <w:rPr>
                <w:b/>
                <w:color w:val="FFFFFF"/>
                <w:sz w:val="18"/>
              </w:rPr>
              <w:t>Current value</w:t>
            </w:r>
          </w:p>
        </w:tc>
      </w:tr>
      <w:tr>
        <w:tc>
          <w:tcPr>
            <w:tcW w:type="dxa" w:w="2448"/>
            <w:tcMar>
              <w:top w:w="105" w:type="dxa"/>
              <w:left w:w="120" w:type="dxa"/>
              <w:bottom w:w="105" w:type="dxa"/>
              <w:right w:w="120" w:type="dxa"/>
            </w:tcMar>
            <w:vAlign w:val="center"/>
          </w:tcPr>
          <w:p>
            <w:pPr>
              <w:spacing w:after="40" w:line="250" w:lineRule="auto"/>
            </w:pPr>
            <w:r>
              <w:rPr>
                <w:sz w:val="18"/>
              </w:rPr>
              <w:t>System</w:t>
            </w:r>
          </w:p>
        </w:tc>
        <w:tc>
          <w:tcPr>
            <w:tcW w:type="dxa" w:w="7200"/>
            <w:tcMar>
              <w:top w:w="105" w:type="dxa"/>
              <w:left w:w="120" w:type="dxa"/>
              <w:bottom w:w="105" w:type="dxa"/>
              <w:right w:w="120" w:type="dxa"/>
            </w:tcMar>
            <w:vAlign w:val="center"/>
          </w:tcPr>
          <w:p>
            <w:pPr>
              <w:spacing w:after="40" w:line="250" w:lineRule="auto"/>
            </w:pPr>
            <w:r>
              <w:rPr>
                <w:sz w:val="18"/>
              </w:rPr>
              <w:t>Governed Legal AI Studio</w:t>
            </w:r>
          </w:p>
        </w:tc>
      </w:tr>
      <w:tr>
        <w:tc>
          <w:tcPr>
            <w:tcW w:type="dxa" w:w="2448"/>
            <w:tcMar>
              <w:top w:w="105" w:type="dxa"/>
              <w:left w:w="120" w:type="dxa"/>
              <w:bottom w:w="105" w:type="dxa"/>
              <w:right w:w="120" w:type="dxa"/>
            </w:tcMar>
            <w:vAlign w:val="center"/>
            <w:shd w:fill="F4F7FA"/>
          </w:tcPr>
          <w:p>
            <w:pPr>
              <w:spacing w:after="40" w:line="250" w:lineRule="auto"/>
            </w:pPr>
            <w:r>
              <w:rPr>
                <w:sz w:val="18"/>
              </w:rPr>
              <w:t>Use case</w:t>
            </w:r>
          </w:p>
        </w:tc>
        <w:tc>
          <w:tcPr>
            <w:tcW w:type="dxa" w:w="7200"/>
            <w:tcMar>
              <w:top w:w="105" w:type="dxa"/>
              <w:left w:w="120" w:type="dxa"/>
              <w:bottom w:w="105" w:type="dxa"/>
              <w:right w:w="120" w:type="dxa"/>
            </w:tcMar>
            <w:vAlign w:val="center"/>
            <w:shd w:fill="F4F7FA"/>
          </w:tcPr>
          <w:p>
            <w:pPr>
              <w:spacing w:after="40" w:line="250" w:lineRule="auto"/>
            </w:pPr>
            <w:r>
              <w:rPr>
                <w:sz w:val="18"/>
              </w:rPr>
              <w:t>Playbook-based review of vendor data processing agreements</w:t>
            </w:r>
          </w:p>
        </w:tc>
      </w:tr>
      <w:tr>
        <w:tc>
          <w:tcPr>
            <w:tcW w:type="dxa" w:w="2448"/>
            <w:tcMar>
              <w:top w:w="105" w:type="dxa"/>
              <w:left w:w="120" w:type="dxa"/>
              <w:bottom w:w="105" w:type="dxa"/>
              <w:right w:w="120" w:type="dxa"/>
            </w:tcMar>
            <w:vAlign w:val="center"/>
          </w:tcPr>
          <w:p>
            <w:pPr>
              <w:spacing w:after="40" w:line="250" w:lineRule="auto"/>
            </w:pPr>
            <w:r>
              <w:rPr>
                <w:sz w:val="18"/>
              </w:rPr>
              <w:t>Business owner</w:t>
            </w:r>
          </w:p>
        </w:tc>
        <w:tc>
          <w:tcPr>
            <w:tcW w:type="dxa" w:w="7200"/>
            <w:tcMar>
              <w:top w:w="105" w:type="dxa"/>
              <w:left w:w="120" w:type="dxa"/>
              <w:bottom w:w="105" w:type="dxa"/>
              <w:right w:w="120" w:type="dxa"/>
            </w:tcMar>
            <w:vAlign w:val="center"/>
          </w:tcPr>
          <w:p>
            <w:pPr>
              <w:spacing w:after="40" w:line="250" w:lineRule="auto"/>
            </w:pPr>
            <w:r>
              <w:rPr>
                <w:sz w:val="18"/>
              </w:rPr>
              <w:t>Privacy Practice Leader</w:t>
            </w:r>
          </w:p>
        </w:tc>
      </w:tr>
      <w:tr>
        <w:tc>
          <w:tcPr>
            <w:tcW w:type="dxa" w:w="2448"/>
            <w:tcMar>
              <w:top w:w="105" w:type="dxa"/>
              <w:left w:w="120" w:type="dxa"/>
              <w:bottom w:w="105" w:type="dxa"/>
              <w:right w:w="120" w:type="dxa"/>
            </w:tcMar>
            <w:vAlign w:val="center"/>
            <w:shd w:fill="F4F7FA"/>
          </w:tcPr>
          <w:p>
            <w:pPr>
              <w:spacing w:after="40" w:line="250" w:lineRule="auto"/>
            </w:pPr>
            <w:r>
              <w:rPr>
                <w:sz w:val="18"/>
              </w:rPr>
              <w:t>AI oversight owner</w:t>
            </w:r>
          </w:p>
        </w:tc>
        <w:tc>
          <w:tcPr>
            <w:tcW w:type="dxa" w:w="7200"/>
            <w:tcMar>
              <w:top w:w="105" w:type="dxa"/>
              <w:left w:w="120" w:type="dxa"/>
              <w:bottom w:w="105" w:type="dxa"/>
              <w:right w:w="120" w:type="dxa"/>
            </w:tcMar>
            <w:vAlign w:val="center"/>
            <w:shd w:fill="F4F7FA"/>
          </w:tcPr>
          <w:p>
            <w:pPr>
              <w:spacing w:after="40" w:line="250" w:lineRule="auto"/>
            </w:pPr>
            <w:r>
              <w:rPr>
                <w:sz w:val="18"/>
              </w:rPr>
              <w:t>AI Governance Committee</w:t>
            </w:r>
          </w:p>
        </w:tc>
      </w:tr>
      <w:tr>
        <w:tc>
          <w:tcPr>
            <w:tcW w:type="dxa" w:w="2448"/>
            <w:tcMar>
              <w:top w:w="105" w:type="dxa"/>
              <w:left w:w="120" w:type="dxa"/>
              <w:bottom w:w="105" w:type="dxa"/>
              <w:right w:w="120" w:type="dxa"/>
            </w:tcMar>
            <w:vAlign w:val="center"/>
          </w:tcPr>
          <w:p>
            <w:pPr>
              <w:spacing w:after="40" w:line="250" w:lineRule="auto"/>
            </w:pPr>
            <w:r>
              <w:rPr>
                <w:sz w:val="18"/>
              </w:rPr>
              <w:t>Operating boundary</w:t>
            </w:r>
          </w:p>
        </w:tc>
        <w:tc>
          <w:tcPr>
            <w:tcW w:type="dxa" w:w="7200"/>
            <w:tcMar>
              <w:top w:w="105" w:type="dxa"/>
              <w:left w:w="120" w:type="dxa"/>
              <w:bottom w:w="105" w:type="dxa"/>
              <w:right w:w="120" w:type="dxa"/>
            </w:tcMar>
            <w:vAlign w:val="center"/>
          </w:tcPr>
          <w:p>
            <w:pPr>
              <w:spacing w:after="40" w:line="250" w:lineRule="auto"/>
            </w:pPr>
            <w:r>
              <w:rPr>
                <w:sz w:val="18"/>
              </w:rPr>
              <w:t>Internal decision support; licensed attorney approves every legal conclusion and external action</w:t>
            </w:r>
          </w:p>
        </w:tc>
      </w:tr>
      <w:tr>
        <w:tc>
          <w:tcPr>
            <w:tcW w:type="dxa" w:w="2448"/>
            <w:tcMar>
              <w:top w:w="105" w:type="dxa"/>
              <w:left w:w="120" w:type="dxa"/>
              <w:bottom w:w="105" w:type="dxa"/>
              <w:right w:w="120" w:type="dxa"/>
            </w:tcMar>
            <w:vAlign w:val="center"/>
            <w:shd w:fill="F4F7FA"/>
          </w:tcPr>
          <w:p>
            <w:pPr>
              <w:spacing w:after="40" w:line="250" w:lineRule="auto"/>
            </w:pPr>
            <w:r>
              <w:rPr>
                <w:sz w:val="18"/>
              </w:rPr>
              <w:t>Data boundary</w:t>
            </w:r>
          </w:p>
        </w:tc>
        <w:tc>
          <w:tcPr>
            <w:tcW w:type="dxa" w:w="7200"/>
            <w:tcMar>
              <w:top w:w="105" w:type="dxa"/>
              <w:left w:w="120" w:type="dxa"/>
              <w:bottom w:w="105" w:type="dxa"/>
              <w:right w:w="120" w:type="dxa"/>
            </w:tcMar>
            <w:vAlign w:val="center"/>
            <w:shd w:fill="F4F7FA"/>
          </w:tcPr>
          <w:p>
            <w:pPr>
              <w:spacing w:after="40" w:line="250" w:lineRule="auto"/>
            </w:pPr>
            <w:r>
              <w:rPr>
                <w:sz w:val="18"/>
              </w:rPr>
              <w:t>Synthetic documents only for this pilot</w:t>
            </w:r>
          </w:p>
        </w:tc>
      </w:tr>
      <w:tr>
        <w:tc>
          <w:tcPr>
            <w:tcW w:type="dxa" w:w="2448"/>
            <w:tcMar>
              <w:top w:w="105" w:type="dxa"/>
              <w:left w:w="120" w:type="dxa"/>
              <w:bottom w:w="105" w:type="dxa"/>
              <w:right w:w="120" w:type="dxa"/>
            </w:tcMar>
            <w:vAlign w:val="center"/>
          </w:tcPr>
          <w:p>
            <w:pPr>
              <w:spacing w:after="40" w:line="250" w:lineRule="auto"/>
            </w:pPr>
            <w:r>
              <w:rPr>
                <w:sz w:val="18"/>
              </w:rPr>
              <w:t>Assurance date</w:t>
            </w:r>
          </w:p>
        </w:tc>
        <w:tc>
          <w:tcPr>
            <w:tcW w:type="dxa" w:w="7200"/>
            <w:tcMar>
              <w:top w:w="105" w:type="dxa"/>
              <w:left w:w="120" w:type="dxa"/>
              <w:bottom w:w="105" w:type="dxa"/>
              <w:right w:w="120" w:type="dxa"/>
            </w:tcMar>
            <w:vAlign w:val="center"/>
          </w:tcPr>
          <w:p>
            <w:pPr>
              <w:spacing w:after="40" w:line="250" w:lineRule="auto"/>
            </w:pPr>
            <w:r>
              <w:rPr>
                <w:sz w:val="18"/>
              </w:rPr>
              <w:t>24 September 2026</w:t>
            </w:r>
          </w:p>
        </w:tc>
      </w:tr>
    </w:tbl>
    <w:p>
      <w:pPr>
        <w:spacing w:after="20"/>
      </w:pPr>
    </w:p>
    <w:p>
      <w:pPr>
        <w:pStyle w:val="Heading2"/>
      </w:pPr>
      <w:r>
        <w:t>Purpose and conclusion</w:t>
      </w:r>
    </w:p>
    <w:p>
      <w:r>
        <w:t>This profile shows how a law firm can govern an AI-assisted contract-review workflow through accountable owners, approved sources, measurable tests, runtime controls, human decisions, and retained evidence. The current release is approved only for the synthetic demonstration. It is not certified as compliant and is not approved for confidential client data.</w:t>
      </w:r>
    </w:p>
    <w:p>
      <w:r>
        <w:t>The profile uses SERVE as the operating spine, the NIST AI Risk Management Framework as the risk-management taxonomy, Illinois professional duties as the primary legal-practice overlay, and selected VERDICT concepts as an agentic-control lens.</w:t>
      </w:r>
    </w:p>
    <w:p>
      <w:r>
        <w:br w:type="page"/>
      </w:r>
    </w:p>
    <w:p>
      <w:pPr>
        <w:pStyle w:val="Heading1"/>
      </w:pPr>
      <w:r>
        <w:t>Operating model</w:t>
      </w:r>
    </w:p>
    <w:p>
      <w:r>
        <w:rPr>
          <w:color w:val="486581"/>
        </w:rPr>
        <w:t>SERVE organizes the management conversation. NIST AI RMF, Illinois duties, and agentic controls provide the detail needed to design, test, operate, and evidence the workflow.</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6"/>
        <w:gridCol w:w="2556"/>
        <w:gridCol w:w="2556"/>
        <w:gridCol w:w="2556"/>
      </w:tblGrid>
      <w:tr>
        <w:trPr>
          <w:tblHeader w:val="true"/>
        </w:trPr>
        <w:tc>
          <w:tcPr>
            <w:tcW w:type="dxa" w:w="1512"/>
            <w:shd w:fill="102A43"/>
            <w:tcMar>
              <w:top w:w="105" w:type="dxa"/>
              <w:left w:w="120" w:type="dxa"/>
              <w:bottom w:w="105" w:type="dxa"/>
              <w:right w:w="120" w:type="dxa"/>
            </w:tcMar>
            <w:vAlign w:val="center"/>
          </w:tcPr>
          <w:p>
            <w:r>
              <w:rPr>
                <w:b/>
                <w:color w:val="FFFFFF"/>
                <w:sz w:val="16"/>
              </w:rPr>
              <w:t>SERVE dimension</w:t>
            </w:r>
          </w:p>
        </w:tc>
        <w:tc>
          <w:tcPr>
            <w:tcW w:type="dxa" w:w="2736"/>
            <w:shd w:fill="102A43"/>
            <w:tcMar>
              <w:top w:w="105" w:type="dxa"/>
              <w:left w:w="120" w:type="dxa"/>
              <w:bottom w:w="105" w:type="dxa"/>
              <w:right w:w="120" w:type="dxa"/>
            </w:tcMar>
            <w:vAlign w:val="center"/>
          </w:tcPr>
          <w:p>
            <w:r>
              <w:rPr>
                <w:b/>
                <w:color w:val="FFFFFF"/>
                <w:sz w:val="16"/>
              </w:rPr>
              <w:t>Management question</w:t>
            </w:r>
          </w:p>
        </w:tc>
        <w:tc>
          <w:tcPr>
            <w:tcW w:type="dxa" w:w="3816"/>
            <w:shd w:fill="102A43"/>
            <w:tcMar>
              <w:top w:w="105" w:type="dxa"/>
              <w:left w:w="120" w:type="dxa"/>
              <w:bottom w:w="105" w:type="dxa"/>
              <w:right w:w="120" w:type="dxa"/>
            </w:tcMar>
            <w:vAlign w:val="center"/>
          </w:tcPr>
          <w:p>
            <w:r>
              <w:rPr>
                <w:b/>
                <w:color w:val="FFFFFF"/>
                <w:sz w:val="16"/>
              </w:rPr>
              <w:t>Operating evidence</w:t>
            </w:r>
          </w:p>
        </w:tc>
        <w:tc>
          <w:tcPr>
            <w:tcW w:type="dxa" w:w="1584"/>
            <w:shd w:fill="102A43"/>
            <w:tcMar>
              <w:top w:w="105" w:type="dxa"/>
              <w:left w:w="120" w:type="dxa"/>
              <w:bottom w:w="105" w:type="dxa"/>
              <w:right w:w="120" w:type="dxa"/>
            </w:tcMar>
            <w:vAlign w:val="center"/>
          </w:tcPr>
          <w:p>
            <w:r>
              <w:rPr>
                <w:b/>
                <w:color w:val="FFFFFF"/>
                <w:sz w:val="16"/>
              </w:rPr>
              <w:t>NIST AI RMF</w:t>
            </w:r>
          </w:p>
        </w:tc>
      </w:tr>
      <w:tr>
        <w:tc>
          <w:tcPr>
            <w:tcW w:type="dxa" w:w="1512"/>
            <w:tcMar>
              <w:top w:w="105" w:type="dxa"/>
              <w:left w:w="120" w:type="dxa"/>
              <w:bottom w:w="105" w:type="dxa"/>
              <w:right w:w="120" w:type="dxa"/>
            </w:tcMar>
            <w:vAlign w:val="center"/>
          </w:tcPr>
          <w:p>
            <w:pPr>
              <w:spacing w:after="40" w:line="250" w:lineRule="auto"/>
            </w:pPr>
            <w:r>
              <w:rPr>
                <w:sz w:val="16"/>
              </w:rPr>
              <w:t>Strategy</w:t>
            </w:r>
          </w:p>
        </w:tc>
        <w:tc>
          <w:tcPr>
            <w:tcW w:type="dxa" w:w="2736"/>
            <w:tcMar>
              <w:top w:w="105" w:type="dxa"/>
              <w:left w:w="120" w:type="dxa"/>
              <w:bottom w:w="105" w:type="dxa"/>
              <w:right w:w="120" w:type="dxa"/>
            </w:tcMar>
            <w:vAlign w:val="center"/>
          </w:tcPr>
          <w:p>
            <w:pPr>
              <w:spacing w:after="40" w:line="250" w:lineRule="auto"/>
            </w:pPr>
            <w:r>
              <w:rPr>
                <w:sz w:val="16"/>
              </w:rPr>
              <w:t>Why is the system used, for whom, and within what limits?</w:t>
            </w:r>
          </w:p>
        </w:tc>
        <w:tc>
          <w:tcPr>
            <w:tcW w:type="dxa" w:w="3816"/>
            <w:tcMar>
              <w:top w:w="105" w:type="dxa"/>
              <w:left w:w="120" w:type="dxa"/>
              <w:bottom w:w="105" w:type="dxa"/>
              <w:right w:w="120" w:type="dxa"/>
            </w:tcMar>
            <w:vAlign w:val="center"/>
          </w:tcPr>
          <w:p>
            <w:pPr>
              <w:spacing w:after="40" w:line="250" w:lineRule="auto"/>
            </w:pPr>
            <w:r>
              <w:rPr>
                <w:sz w:val="16"/>
              </w:rPr>
              <w:t>Approved use case, intended benefit, risk appetite, prohibited uses, accountable owner</w:t>
            </w:r>
          </w:p>
        </w:tc>
        <w:tc>
          <w:tcPr>
            <w:tcW w:type="dxa" w:w="1584"/>
            <w:tcMar>
              <w:top w:w="105" w:type="dxa"/>
              <w:left w:w="120" w:type="dxa"/>
              <w:bottom w:w="105" w:type="dxa"/>
              <w:right w:w="120" w:type="dxa"/>
            </w:tcMar>
            <w:vAlign w:val="center"/>
          </w:tcPr>
          <w:p>
            <w:pPr>
              <w:spacing w:after="40" w:line="250" w:lineRule="auto"/>
            </w:pPr>
            <w:r>
              <w:rPr>
                <w:sz w:val="16"/>
              </w:rPr>
              <w:t>Govern</w:t>
            </w:r>
          </w:p>
        </w:tc>
      </w:tr>
      <w:tr>
        <w:tc>
          <w:tcPr>
            <w:tcW w:type="dxa" w:w="1512"/>
            <w:tcMar>
              <w:top w:w="105" w:type="dxa"/>
              <w:left w:w="120" w:type="dxa"/>
              <w:bottom w:w="105" w:type="dxa"/>
              <w:right w:w="120" w:type="dxa"/>
            </w:tcMar>
            <w:vAlign w:val="center"/>
            <w:shd w:fill="F4F7FA"/>
          </w:tcPr>
          <w:p>
            <w:pPr>
              <w:spacing w:after="40" w:line="250" w:lineRule="auto"/>
            </w:pPr>
            <w:r>
              <w:rPr>
                <w:sz w:val="16"/>
              </w:rPr>
              <w:t>Execution</w:t>
            </w:r>
          </w:p>
        </w:tc>
        <w:tc>
          <w:tcPr>
            <w:tcW w:type="dxa" w:w="2736"/>
            <w:tcMar>
              <w:top w:w="105" w:type="dxa"/>
              <w:left w:w="120" w:type="dxa"/>
              <w:bottom w:w="105" w:type="dxa"/>
              <w:right w:w="120" w:type="dxa"/>
            </w:tcMar>
            <w:vAlign w:val="center"/>
            <w:shd w:fill="F4F7FA"/>
          </w:tcPr>
          <w:p>
            <w:pPr>
              <w:spacing w:after="40" w:line="250" w:lineRule="auto"/>
            </w:pPr>
            <w:r>
              <w:rPr>
                <w:sz w:val="16"/>
              </w:rPr>
              <w:t>How do policy and legal judgment become daily practice?</w:t>
            </w:r>
          </w:p>
        </w:tc>
        <w:tc>
          <w:tcPr>
            <w:tcW w:type="dxa" w:w="3816"/>
            <w:tcMar>
              <w:top w:w="105" w:type="dxa"/>
              <w:left w:w="120" w:type="dxa"/>
              <w:bottom w:w="105" w:type="dxa"/>
              <w:right w:w="120" w:type="dxa"/>
            </w:tcMar>
            <w:vAlign w:val="center"/>
            <w:shd w:fill="F4F7FA"/>
          </w:tcPr>
          <w:p>
            <w:pPr>
              <w:spacing w:after="40" w:line="250" w:lineRule="auto"/>
            </w:pPr>
            <w:r>
              <w:rPr>
                <w:sz w:val="16"/>
              </w:rPr>
              <w:t>Named roles, approved sources, training, access, workflow, versioning, release gate</w:t>
            </w:r>
          </w:p>
        </w:tc>
        <w:tc>
          <w:tcPr>
            <w:tcW w:type="dxa" w:w="1584"/>
            <w:tcMar>
              <w:top w:w="105" w:type="dxa"/>
              <w:left w:w="120" w:type="dxa"/>
              <w:bottom w:w="105" w:type="dxa"/>
              <w:right w:w="120" w:type="dxa"/>
            </w:tcMar>
            <w:vAlign w:val="center"/>
            <w:shd w:fill="F4F7FA"/>
          </w:tcPr>
          <w:p>
            <w:pPr>
              <w:spacing w:after="40" w:line="250" w:lineRule="auto"/>
            </w:pPr>
            <w:r>
              <w:rPr>
                <w:sz w:val="16"/>
              </w:rPr>
              <w:t>Govern and Manage</w:t>
            </w:r>
          </w:p>
        </w:tc>
      </w:tr>
      <w:tr>
        <w:tc>
          <w:tcPr>
            <w:tcW w:type="dxa" w:w="1512"/>
            <w:tcMar>
              <w:top w:w="105" w:type="dxa"/>
              <w:left w:w="120" w:type="dxa"/>
              <w:bottom w:w="105" w:type="dxa"/>
              <w:right w:w="120" w:type="dxa"/>
            </w:tcMar>
            <w:vAlign w:val="center"/>
          </w:tcPr>
          <w:p>
            <w:pPr>
              <w:spacing w:after="40" w:line="250" w:lineRule="auto"/>
            </w:pPr>
            <w:r>
              <w:rPr>
                <w:sz w:val="16"/>
              </w:rPr>
              <w:t>Risk</w:t>
            </w:r>
          </w:p>
        </w:tc>
        <w:tc>
          <w:tcPr>
            <w:tcW w:type="dxa" w:w="2736"/>
            <w:tcMar>
              <w:top w:w="105" w:type="dxa"/>
              <w:left w:w="120" w:type="dxa"/>
              <w:bottom w:w="105" w:type="dxa"/>
              <w:right w:w="120" w:type="dxa"/>
            </w:tcMar>
            <w:vAlign w:val="center"/>
          </w:tcPr>
          <w:p>
            <w:pPr>
              <w:spacing w:after="40" w:line="250" w:lineRule="auto"/>
            </w:pPr>
            <w:r>
              <w:rPr>
                <w:sz w:val="16"/>
              </w:rPr>
              <w:t>What can go wrong, and can the firm detect, contain, and recover?</w:t>
            </w:r>
          </w:p>
        </w:tc>
        <w:tc>
          <w:tcPr>
            <w:tcW w:type="dxa" w:w="3816"/>
            <w:tcMar>
              <w:top w:w="105" w:type="dxa"/>
              <w:left w:w="120" w:type="dxa"/>
              <w:bottom w:w="105" w:type="dxa"/>
              <w:right w:w="120" w:type="dxa"/>
            </w:tcMar>
            <w:vAlign w:val="center"/>
          </w:tcPr>
          <w:p>
            <w:pPr>
              <w:spacing w:after="40" w:line="250" w:lineRule="auto"/>
            </w:pPr>
            <w:r>
              <w:rPr>
                <w:sz w:val="16"/>
              </w:rPr>
              <w:t>Risk register, independent challenge, incident process, stop control, vendor assessment</w:t>
            </w:r>
          </w:p>
        </w:tc>
        <w:tc>
          <w:tcPr>
            <w:tcW w:type="dxa" w:w="1584"/>
            <w:tcMar>
              <w:top w:w="105" w:type="dxa"/>
              <w:left w:w="120" w:type="dxa"/>
              <w:bottom w:w="105" w:type="dxa"/>
              <w:right w:w="120" w:type="dxa"/>
            </w:tcMar>
            <w:vAlign w:val="center"/>
          </w:tcPr>
          <w:p>
            <w:pPr>
              <w:spacing w:after="40" w:line="250" w:lineRule="auto"/>
            </w:pPr>
            <w:r>
              <w:rPr>
                <w:sz w:val="16"/>
              </w:rPr>
              <w:t>Map, Measure, Manage</w:t>
            </w:r>
          </w:p>
        </w:tc>
      </w:tr>
      <w:tr>
        <w:tc>
          <w:tcPr>
            <w:tcW w:type="dxa" w:w="1512"/>
            <w:tcMar>
              <w:top w:w="105" w:type="dxa"/>
              <w:left w:w="120" w:type="dxa"/>
              <w:bottom w:w="105" w:type="dxa"/>
              <w:right w:w="120" w:type="dxa"/>
            </w:tcMar>
            <w:vAlign w:val="center"/>
            <w:shd w:fill="F4F7FA"/>
          </w:tcPr>
          <w:p>
            <w:pPr>
              <w:spacing w:after="40" w:line="250" w:lineRule="auto"/>
            </w:pPr>
            <w:r>
              <w:rPr>
                <w:sz w:val="16"/>
              </w:rPr>
              <w:t>Value</w:t>
            </w:r>
          </w:p>
        </w:tc>
        <w:tc>
          <w:tcPr>
            <w:tcW w:type="dxa" w:w="2736"/>
            <w:tcMar>
              <w:top w:w="105" w:type="dxa"/>
              <w:left w:w="120" w:type="dxa"/>
              <w:bottom w:w="105" w:type="dxa"/>
              <w:right w:w="120" w:type="dxa"/>
            </w:tcMar>
            <w:vAlign w:val="center"/>
            <w:shd w:fill="F4F7FA"/>
          </w:tcPr>
          <w:p>
            <w:pPr>
              <w:spacing w:after="40" w:line="250" w:lineRule="auto"/>
            </w:pPr>
            <w:r>
              <w:rPr>
                <w:sz w:val="16"/>
              </w:rPr>
              <w:t>Is the workflow creating reliable value for lawyers and clients?</w:t>
            </w:r>
          </w:p>
        </w:tc>
        <w:tc>
          <w:tcPr>
            <w:tcW w:type="dxa" w:w="3816"/>
            <w:tcMar>
              <w:top w:w="105" w:type="dxa"/>
              <w:left w:w="120" w:type="dxa"/>
              <w:bottom w:w="105" w:type="dxa"/>
              <w:right w:w="120" w:type="dxa"/>
            </w:tcMar>
            <w:vAlign w:val="center"/>
            <w:shd w:fill="F4F7FA"/>
          </w:tcPr>
          <w:p>
            <w:pPr>
              <w:spacing w:after="40" w:line="250" w:lineRule="auto"/>
            </w:pPr>
            <w:r>
              <w:rPr>
                <w:sz w:val="16"/>
              </w:rPr>
              <w:t>Recall, citation accuracy, attorney acceptance, cycle time, overrides, adoption results</w:t>
            </w:r>
          </w:p>
        </w:tc>
        <w:tc>
          <w:tcPr>
            <w:tcW w:type="dxa" w:w="1584"/>
            <w:tcMar>
              <w:top w:w="105" w:type="dxa"/>
              <w:left w:w="120" w:type="dxa"/>
              <w:bottom w:w="105" w:type="dxa"/>
              <w:right w:w="120" w:type="dxa"/>
            </w:tcMar>
            <w:vAlign w:val="center"/>
            <w:shd w:fill="F4F7FA"/>
          </w:tcPr>
          <w:p>
            <w:pPr>
              <w:spacing w:after="40" w:line="250" w:lineRule="auto"/>
            </w:pPr>
            <w:r>
              <w:rPr>
                <w:sz w:val="16"/>
              </w:rPr>
              <w:t>Measure and Manage</w:t>
            </w:r>
          </w:p>
        </w:tc>
      </w:tr>
      <w:tr>
        <w:tc>
          <w:tcPr>
            <w:tcW w:type="dxa" w:w="1512"/>
            <w:tcMar>
              <w:top w:w="105" w:type="dxa"/>
              <w:left w:w="120" w:type="dxa"/>
              <w:bottom w:w="105" w:type="dxa"/>
              <w:right w:w="120" w:type="dxa"/>
            </w:tcMar>
            <w:vAlign w:val="center"/>
          </w:tcPr>
          <w:p>
            <w:pPr>
              <w:spacing w:after="40" w:line="250" w:lineRule="auto"/>
            </w:pPr>
            <w:r>
              <w:rPr>
                <w:sz w:val="16"/>
              </w:rPr>
              <w:t>Ethics</w:t>
            </w:r>
          </w:p>
        </w:tc>
        <w:tc>
          <w:tcPr>
            <w:tcW w:type="dxa" w:w="2736"/>
            <w:tcMar>
              <w:top w:w="105" w:type="dxa"/>
              <w:left w:w="120" w:type="dxa"/>
              <w:bottom w:w="105" w:type="dxa"/>
              <w:right w:w="120" w:type="dxa"/>
            </w:tcMar>
            <w:vAlign w:val="center"/>
          </w:tcPr>
          <w:p>
            <w:pPr>
              <w:spacing w:after="40" w:line="250" w:lineRule="auto"/>
            </w:pPr>
            <w:r>
              <w:rPr>
                <w:sz w:val="16"/>
              </w:rPr>
              <w:t>Which interests must be protected, and what will never be delegated?</w:t>
            </w:r>
          </w:p>
        </w:tc>
        <w:tc>
          <w:tcPr>
            <w:tcW w:type="dxa" w:w="3816"/>
            <w:tcMar>
              <w:top w:w="105" w:type="dxa"/>
              <w:left w:w="120" w:type="dxa"/>
              <w:bottom w:w="105" w:type="dxa"/>
              <w:right w:w="120" w:type="dxa"/>
            </w:tcMar>
            <w:vAlign w:val="center"/>
          </w:tcPr>
          <w:p>
            <w:pPr>
              <w:spacing w:after="40" w:line="250" w:lineRule="auto"/>
            </w:pPr>
            <w:r>
              <w:rPr>
                <w:sz w:val="16"/>
              </w:rPr>
              <w:t>Human accountability, confidentiality, transparent use, prohibited autonomy</w:t>
            </w:r>
          </w:p>
        </w:tc>
        <w:tc>
          <w:tcPr>
            <w:tcW w:type="dxa" w:w="1584"/>
            <w:tcMar>
              <w:top w:w="105" w:type="dxa"/>
              <w:left w:w="120" w:type="dxa"/>
              <w:bottom w:w="105" w:type="dxa"/>
              <w:right w:w="120" w:type="dxa"/>
            </w:tcMar>
            <w:vAlign w:val="center"/>
          </w:tcPr>
          <w:p>
            <w:pPr>
              <w:spacing w:after="40" w:line="250" w:lineRule="auto"/>
            </w:pPr>
            <w:r>
              <w:rPr>
                <w:sz w:val="16"/>
              </w:rPr>
              <w:t>Govern and Map</w:t>
            </w:r>
          </w:p>
        </w:tc>
      </w:tr>
    </w:tbl>
    <w:p>
      <w:pPr>
        <w:spacing w:after="20"/>
      </w:pPr>
    </w:p>
    <w:p>
      <w:pPr>
        <w:pStyle w:val="Heading2"/>
      </w:pPr>
      <w:r>
        <w:t>Agentic control lens</w:t>
      </w:r>
    </w:p>
    <w:p>
      <w:r>
        <w:t>The design also checks seven high-level VERDICT concerns: Validation, Evidence, Runtime Control, Decisions, Identity, Cost and Compliance, and Transparency. In this pilot they appear as golden-matter testing, audit evidence, an auditor-controlled release gate, bounded agent mandates, named roles, scoped obligations, and clear user disclosures.</w:t>
      </w:r>
    </w:p>
    <w:p>
      <w:r>
        <w:br w:type="page"/>
      </w:r>
    </w:p>
    <w:p>
      <w:pPr>
        <w:pStyle w:val="Heading1"/>
      </w:pPr>
      <w:r>
        <w:t>AI System Card</w:t>
      </w:r>
    </w:p>
    <w:p>
      <w:r>
        <w:rPr>
          <w:color w:val="486581"/>
        </w:rPr>
        <w:t>The system card fixes the purpose and boundaries against which controls and evidence are evaluated. Any material change triggers reassessment and revalidation.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8"/>
        <w:gridCol w:w="3408"/>
        <w:gridCol w:w="3408"/>
      </w:tblGrid>
      <w:tr>
        <w:trPr>
          <w:tblHeader w:val="true"/>
        </w:trPr>
        <w:tc>
          <w:tcPr>
            <w:tcW w:type="dxa" w:w="1944"/>
            <w:shd w:fill="102A43"/>
            <w:tcMar>
              <w:top w:w="105" w:type="dxa"/>
              <w:left w:w="120" w:type="dxa"/>
              <w:bottom w:w="105" w:type="dxa"/>
              <w:right w:w="120" w:type="dxa"/>
            </w:tcMar>
            <w:vAlign w:val="center"/>
          </w:tcPr>
          <w:p>
            <w:r>
              <w:rPr>
                <w:b/>
                <w:color w:val="FFFFFF"/>
                <w:sz w:val="17"/>
              </w:rPr>
              <w:t>Field</w:t>
            </w:r>
          </w:p>
        </w:tc>
        <w:tc>
          <w:tcPr>
            <w:tcW w:type="dxa" w:w="5256"/>
            <w:shd w:fill="102A43"/>
            <w:tcMar>
              <w:top w:w="105" w:type="dxa"/>
              <w:left w:w="120" w:type="dxa"/>
              <w:bottom w:w="105" w:type="dxa"/>
              <w:right w:w="120" w:type="dxa"/>
            </w:tcMar>
            <w:vAlign w:val="center"/>
          </w:tcPr>
          <w:p>
            <w:r>
              <w:rPr>
                <w:b/>
                <w:color w:val="FFFFFF"/>
                <w:sz w:val="17"/>
              </w:rPr>
              <w:t>Approved pilot position</w:t>
            </w:r>
          </w:p>
        </w:tc>
        <w:tc>
          <w:tcPr>
            <w:tcW w:type="dxa" w:w="2448"/>
            <w:shd w:fill="102A43"/>
            <w:tcMar>
              <w:top w:w="105" w:type="dxa"/>
              <w:left w:w="120" w:type="dxa"/>
              <w:bottom w:w="105" w:type="dxa"/>
              <w:right w:w="120" w:type="dxa"/>
            </w:tcMar>
            <w:vAlign w:val="center"/>
          </w:tcPr>
          <w:p>
            <w:r>
              <w:rPr>
                <w:b/>
                <w:color w:val="FFFFFF"/>
                <w:sz w:val="17"/>
              </w:rPr>
              <w:t>Evidence or owner</w:t>
            </w:r>
          </w:p>
        </w:tc>
      </w:tr>
      <w:tr>
        <w:tc>
          <w:tcPr>
            <w:tcW w:type="dxa" w:w="1944"/>
            <w:tcMar>
              <w:top w:w="105" w:type="dxa"/>
              <w:left w:w="120" w:type="dxa"/>
              <w:bottom w:w="105" w:type="dxa"/>
              <w:right w:w="120" w:type="dxa"/>
            </w:tcMar>
            <w:vAlign w:val="center"/>
          </w:tcPr>
          <w:p>
            <w:pPr>
              <w:spacing w:after="40" w:line="250" w:lineRule="auto"/>
            </w:pPr>
            <w:r>
              <w:rPr>
                <w:sz w:val="17"/>
              </w:rPr>
              <w:t>Intended use</w:t>
            </w:r>
          </w:p>
        </w:tc>
        <w:tc>
          <w:tcPr>
            <w:tcW w:type="dxa" w:w="5256"/>
            <w:tcMar>
              <w:top w:w="105" w:type="dxa"/>
              <w:left w:w="120" w:type="dxa"/>
              <w:bottom w:w="105" w:type="dxa"/>
              <w:right w:w="120" w:type="dxa"/>
            </w:tcMar>
            <w:vAlign w:val="center"/>
          </w:tcPr>
          <w:p>
            <w:pPr>
              <w:spacing w:after="40" w:line="250" w:lineRule="auto"/>
            </w:pPr>
            <w:r>
              <w:rPr>
                <w:sz w:val="17"/>
              </w:rPr>
              <w:t>Identify and explain DPA deviations against an attorney-approved playbook</w:t>
            </w:r>
          </w:p>
        </w:tc>
        <w:tc>
          <w:tcPr>
            <w:tcW w:type="dxa" w:w="2448"/>
            <w:tcMar>
              <w:top w:w="105" w:type="dxa"/>
              <w:left w:w="120" w:type="dxa"/>
              <w:bottom w:w="105" w:type="dxa"/>
              <w:right w:w="120" w:type="dxa"/>
            </w:tcMar>
            <w:vAlign w:val="center"/>
          </w:tcPr>
          <w:p>
            <w:pPr>
              <w:spacing w:after="40" w:line="250" w:lineRule="auto"/>
            </w:pPr>
            <w:r>
              <w:rPr>
                <w:sz w:val="17"/>
              </w:rPr>
              <w:t>Use-case approval  Privacy Practice Leader</w:t>
            </w:r>
          </w:p>
        </w:tc>
      </w:tr>
      <w:tr>
        <w:tc>
          <w:tcPr>
            <w:tcW w:type="dxa" w:w="1944"/>
            <w:tcMar>
              <w:top w:w="105" w:type="dxa"/>
              <w:left w:w="120" w:type="dxa"/>
              <w:bottom w:w="105" w:type="dxa"/>
              <w:right w:w="120" w:type="dxa"/>
            </w:tcMar>
            <w:vAlign w:val="center"/>
            <w:shd w:fill="F4F7FA"/>
          </w:tcPr>
          <w:p>
            <w:pPr>
              <w:spacing w:after="40" w:line="250" w:lineRule="auto"/>
            </w:pPr>
            <w:r>
              <w:rPr>
                <w:sz w:val="17"/>
              </w:rPr>
              <w:t>Users</w:t>
            </w:r>
          </w:p>
        </w:tc>
        <w:tc>
          <w:tcPr>
            <w:tcW w:type="dxa" w:w="5256"/>
            <w:tcMar>
              <w:top w:w="105" w:type="dxa"/>
              <w:left w:w="120" w:type="dxa"/>
              <w:bottom w:w="105" w:type="dxa"/>
              <w:right w:w="120" w:type="dxa"/>
            </w:tcMar>
            <w:vAlign w:val="center"/>
            <w:shd w:fill="F4F7FA"/>
          </w:tcPr>
          <w:p>
            <w:pPr>
              <w:spacing w:after="40" w:line="250" w:lineRule="auto"/>
            </w:pPr>
            <w:r>
              <w:rPr>
                <w:sz w:val="17"/>
              </w:rPr>
              <w:t>Licensed attorneys and authorized legal operations staff</w:t>
            </w:r>
          </w:p>
        </w:tc>
        <w:tc>
          <w:tcPr>
            <w:tcW w:type="dxa" w:w="2448"/>
            <w:tcMar>
              <w:top w:w="105" w:type="dxa"/>
              <w:left w:w="120" w:type="dxa"/>
              <w:bottom w:w="105" w:type="dxa"/>
              <w:right w:w="120" w:type="dxa"/>
            </w:tcMar>
            <w:vAlign w:val="center"/>
            <w:shd w:fill="F4F7FA"/>
          </w:tcPr>
          <w:p>
            <w:pPr>
              <w:spacing w:after="40" w:line="250" w:lineRule="auto"/>
            </w:pPr>
            <w:r>
              <w:rPr>
                <w:sz w:val="17"/>
              </w:rPr>
              <w:t>Access policy  Legal Operations</w:t>
            </w:r>
          </w:p>
        </w:tc>
      </w:tr>
      <w:tr>
        <w:tc>
          <w:tcPr>
            <w:tcW w:type="dxa" w:w="1944"/>
            <w:tcMar>
              <w:top w:w="105" w:type="dxa"/>
              <w:left w:w="120" w:type="dxa"/>
              <w:bottom w:w="105" w:type="dxa"/>
              <w:right w:w="120" w:type="dxa"/>
            </w:tcMar>
            <w:vAlign w:val="center"/>
          </w:tcPr>
          <w:p>
            <w:pPr>
              <w:spacing w:after="40" w:line="250" w:lineRule="auto"/>
            </w:pPr>
            <w:r>
              <w:rPr>
                <w:sz w:val="17"/>
              </w:rPr>
              <w:t>Decision authority</w:t>
            </w:r>
          </w:p>
        </w:tc>
        <w:tc>
          <w:tcPr>
            <w:tcW w:type="dxa" w:w="5256"/>
            <w:tcMar>
              <w:top w:w="105" w:type="dxa"/>
              <w:left w:w="120" w:type="dxa"/>
              <w:bottom w:w="105" w:type="dxa"/>
              <w:right w:w="120" w:type="dxa"/>
            </w:tcMar>
            <w:vAlign w:val="center"/>
          </w:tcPr>
          <w:p>
            <w:pPr>
              <w:spacing w:after="40" w:line="250" w:lineRule="auto"/>
            </w:pPr>
            <w:r>
              <w:rPr>
                <w:sz w:val="17"/>
              </w:rPr>
              <w:t>The AI recommends; an attorney accepts, rejects, or escalates</w:t>
            </w:r>
          </w:p>
        </w:tc>
        <w:tc>
          <w:tcPr>
            <w:tcW w:type="dxa" w:w="2448"/>
            <w:tcMar>
              <w:top w:w="105" w:type="dxa"/>
              <w:left w:w="120" w:type="dxa"/>
              <w:bottom w:w="105" w:type="dxa"/>
              <w:right w:w="120" w:type="dxa"/>
            </w:tcMar>
            <w:vAlign w:val="center"/>
          </w:tcPr>
          <w:p>
            <w:pPr>
              <w:spacing w:after="40" w:line="250" w:lineRule="auto"/>
            </w:pPr>
            <w:r>
              <w:rPr>
                <w:sz w:val="17"/>
              </w:rPr>
              <w:t>Matter decision record</w:t>
            </w:r>
          </w:p>
        </w:tc>
      </w:tr>
      <w:tr>
        <w:tc>
          <w:tcPr>
            <w:tcW w:type="dxa" w:w="1944"/>
            <w:tcMar>
              <w:top w:w="105" w:type="dxa"/>
              <w:left w:w="120" w:type="dxa"/>
              <w:bottom w:w="105" w:type="dxa"/>
              <w:right w:w="120" w:type="dxa"/>
            </w:tcMar>
            <w:vAlign w:val="center"/>
            <w:shd w:fill="F4F7FA"/>
          </w:tcPr>
          <w:p>
            <w:pPr>
              <w:spacing w:after="40" w:line="250" w:lineRule="auto"/>
            </w:pPr>
            <w:r>
              <w:rPr>
                <w:sz w:val="17"/>
              </w:rPr>
              <w:t>External action</w:t>
            </w:r>
          </w:p>
        </w:tc>
        <w:tc>
          <w:tcPr>
            <w:tcW w:type="dxa" w:w="5256"/>
            <w:tcMar>
              <w:top w:w="105" w:type="dxa"/>
              <w:left w:w="120" w:type="dxa"/>
              <w:bottom w:w="105" w:type="dxa"/>
              <w:right w:w="120" w:type="dxa"/>
            </w:tcMar>
            <w:vAlign w:val="center"/>
            <w:shd w:fill="F4F7FA"/>
          </w:tcPr>
          <w:p>
            <w:pPr>
              <w:spacing w:after="40" w:line="250" w:lineRule="auto"/>
            </w:pPr>
            <w:r>
              <w:rPr>
                <w:sz w:val="17"/>
              </w:rPr>
              <w:t>Disabled. No filing, client advice, counterparty message, or final redline is sent</w:t>
            </w:r>
          </w:p>
        </w:tc>
        <w:tc>
          <w:tcPr>
            <w:tcW w:type="dxa" w:w="2448"/>
            <w:tcMar>
              <w:top w:w="105" w:type="dxa"/>
              <w:left w:w="120" w:type="dxa"/>
              <w:bottom w:w="105" w:type="dxa"/>
              <w:right w:w="120" w:type="dxa"/>
            </w:tcMar>
            <w:vAlign w:val="center"/>
            <w:shd w:fill="F4F7FA"/>
          </w:tcPr>
          <w:p>
            <w:pPr>
              <w:spacing w:after="40" w:line="250" w:lineRule="auto"/>
            </w:pPr>
            <w:r>
              <w:rPr>
                <w:sz w:val="17"/>
              </w:rPr>
              <w:t>Human release gate</w:t>
            </w:r>
          </w:p>
        </w:tc>
      </w:tr>
      <w:tr>
        <w:tc>
          <w:tcPr>
            <w:tcW w:type="dxa" w:w="1944"/>
            <w:tcMar>
              <w:top w:w="105" w:type="dxa"/>
              <w:left w:w="120" w:type="dxa"/>
              <w:bottom w:w="105" w:type="dxa"/>
              <w:right w:w="120" w:type="dxa"/>
            </w:tcMar>
            <w:vAlign w:val="center"/>
          </w:tcPr>
          <w:p>
            <w:pPr>
              <w:spacing w:after="40" w:line="250" w:lineRule="auto"/>
            </w:pPr>
            <w:r>
              <w:rPr>
                <w:sz w:val="17"/>
              </w:rPr>
              <w:t>Approved inputs</w:t>
            </w:r>
          </w:p>
        </w:tc>
        <w:tc>
          <w:tcPr>
            <w:tcW w:type="dxa" w:w="5256"/>
            <w:tcMar>
              <w:top w:w="105" w:type="dxa"/>
              <w:left w:w="120" w:type="dxa"/>
              <w:bottom w:w="105" w:type="dxa"/>
              <w:right w:w="120" w:type="dxa"/>
            </w:tcMar>
            <w:vAlign w:val="center"/>
          </w:tcPr>
          <w:p>
            <w:pPr>
              <w:spacing w:after="40" w:line="250" w:lineRule="auto"/>
            </w:pPr>
            <w:r>
              <w:rPr>
                <w:sz w:val="17"/>
              </w:rPr>
              <w:t>Synthetic agreements, controlled playbook, controlled policy, and evaluation set</w:t>
            </w:r>
          </w:p>
        </w:tc>
        <w:tc>
          <w:tcPr>
            <w:tcW w:type="dxa" w:w="2448"/>
            <w:tcMar>
              <w:top w:w="105" w:type="dxa"/>
              <w:left w:w="120" w:type="dxa"/>
              <w:bottom w:w="105" w:type="dxa"/>
              <w:right w:w="120" w:type="dxa"/>
            </w:tcMar>
            <w:vAlign w:val="center"/>
          </w:tcPr>
          <w:p>
            <w:pPr>
              <w:spacing w:after="40" w:line="250" w:lineRule="auto"/>
            </w:pPr>
            <w:r>
              <w:rPr>
                <w:sz w:val="17"/>
              </w:rPr>
              <w:t>Controlled document library</w:t>
            </w:r>
          </w:p>
        </w:tc>
      </w:tr>
      <w:tr>
        <w:tc>
          <w:tcPr>
            <w:tcW w:type="dxa" w:w="1944"/>
            <w:tcMar>
              <w:top w:w="105" w:type="dxa"/>
              <w:left w:w="120" w:type="dxa"/>
              <w:bottom w:w="105" w:type="dxa"/>
              <w:right w:w="120" w:type="dxa"/>
            </w:tcMar>
            <w:vAlign w:val="center"/>
            <w:shd w:fill="F4F7FA"/>
          </w:tcPr>
          <w:p>
            <w:pPr>
              <w:spacing w:after="40" w:line="250" w:lineRule="auto"/>
            </w:pPr>
            <w:r>
              <w:rPr>
                <w:sz w:val="17"/>
              </w:rPr>
              <w:t>Prohibited inputs</w:t>
            </w:r>
          </w:p>
        </w:tc>
        <w:tc>
          <w:tcPr>
            <w:tcW w:type="dxa" w:w="5256"/>
            <w:tcMar>
              <w:top w:w="105" w:type="dxa"/>
              <w:left w:w="120" w:type="dxa"/>
              <w:bottom w:w="105" w:type="dxa"/>
              <w:right w:w="120" w:type="dxa"/>
            </w:tcMar>
            <w:vAlign w:val="center"/>
            <w:shd w:fill="F4F7FA"/>
          </w:tcPr>
          <w:p>
            <w:pPr>
              <w:spacing w:after="40" w:line="250" w:lineRule="auto"/>
            </w:pPr>
            <w:r>
              <w:rPr>
                <w:sz w:val="17"/>
              </w:rPr>
              <w:t>Client data, privileged material, biometric data, health information, credentials, and secrets</w:t>
            </w:r>
          </w:p>
        </w:tc>
        <w:tc>
          <w:tcPr>
            <w:tcW w:type="dxa" w:w="2448"/>
            <w:tcMar>
              <w:top w:w="105" w:type="dxa"/>
              <w:left w:w="120" w:type="dxa"/>
              <w:bottom w:w="105" w:type="dxa"/>
              <w:right w:w="120" w:type="dxa"/>
            </w:tcMar>
            <w:vAlign w:val="center"/>
            <w:shd w:fill="F4F7FA"/>
          </w:tcPr>
          <w:p>
            <w:pPr>
              <w:spacing w:after="40" w:line="250" w:lineRule="auto"/>
            </w:pPr>
            <w:r>
              <w:rPr>
                <w:sz w:val="17"/>
              </w:rPr>
              <w:t>Synthetic-only pilot notice</w:t>
            </w:r>
          </w:p>
        </w:tc>
      </w:tr>
      <w:tr>
        <w:tc>
          <w:tcPr>
            <w:tcW w:type="dxa" w:w="1944"/>
            <w:tcMar>
              <w:top w:w="105" w:type="dxa"/>
              <w:left w:w="120" w:type="dxa"/>
              <w:bottom w:w="105" w:type="dxa"/>
              <w:right w:w="120" w:type="dxa"/>
            </w:tcMar>
            <w:vAlign w:val="center"/>
          </w:tcPr>
          <w:p>
            <w:pPr>
              <w:spacing w:after="40" w:line="250" w:lineRule="auto"/>
            </w:pPr>
            <w:r>
              <w:rPr>
                <w:sz w:val="17"/>
              </w:rPr>
              <w:t>Agent architecture</w:t>
            </w:r>
          </w:p>
        </w:tc>
        <w:tc>
          <w:tcPr>
            <w:tcW w:type="dxa" w:w="5256"/>
            <w:tcMar>
              <w:top w:w="105" w:type="dxa"/>
              <w:left w:w="120" w:type="dxa"/>
              <w:bottom w:w="105" w:type="dxa"/>
              <w:right w:w="120" w:type="dxa"/>
            </w:tcMar>
            <w:vAlign w:val="center"/>
          </w:tcPr>
          <w:p>
            <w:pPr>
              <w:spacing w:after="40" w:line="250" w:lineRule="auto"/>
            </w:pPr>
            <w:r>
              <w:rPr>
                <w:sz w:val="17"/>
              </w:rPr>
              <w:t>Five bounded roles with structured handoffs and independent evidence challenge</w:t>
            </w:r>
          </w:p>
        </w:tc>
        <w:tc>
          <w:tcPr>
            <w:tcW w:type="dxa" w:w="2448"/>
            <w:tcMar>
              <w:top w:w="105" w:type="dxa"/>
              <w:left w:w="120" w:type="dxa"/>
              <w:bottom w:w="105" w:type="dxa"/>
              <w:right w:w="120" w:type="dxa"/>
            </w:tcMar>
            <w:vAlign w:val="center"/>
          </w:tcPr>
          <w:p>
            <w:pPr>
              <w:spacing w:after="40" w:line="250" w:lineRule="auto"/>
            </w:pPr>
            <w:r>
              <w:rPr>
                <w:sz w:val="17"/>
              </w:rPr>
              <w:t>Agent mandate register</w:t>
            </w:r>
          </w:p>
        </w:tc>
      </w:tr>
      <w:tr>
        <w:tc>
          <w:tcPr>
            <w:tcW w:type="dxa" w:w="1944"/>
            <w:tcMar>
              <w:top w:w="105" w:type="dxa"/>
              <w:left w:w="120" w:type="dxa"/>
              <w:bottom w:w="105" w:type="dxa"/>
              <w:right w:w="120" w:type="dxa"/>
            </w:tcMar>
            <w:vAlign w:val="center"/>
            <w:shd w:fill="F4F7FA"/>
          </w:tcPr>
          <w:p>
            <w:pPr>
              <w:spacing w:after="40" w:line="250" w:lineRule="auto"/>
            </w:pPr>
            <w:r>
              <w:rPr>
                <w:sz w:val="17"/>
              </w:rPr>
              <w:t>Revalidation triggers</w:t>
            </w:r>
          </w:p>
        </w:tc>
        <w:tc>
          <w:tcPr>
            <w:tcW w:type="dxa" w:w="5256"/>
            <w:tcMar>
              <w:top w:w="105" w:type="dxa"/>
              <w:left w:w="120" w:type="dxa"/>
              <w:bottom w:w="105" w:type="dxa"/>
              <w:right w:w="120" w:type="dxa"/>
            </w:tcMar>
            <w:vAlign w:val="center"/>
            <w:shd w:fill="F4F7FA"/>
          </w:tcPr>
          <w:p>
            <w:pPr>
              <w:spacing w:after="40" w:line="250" w:lineRule="auto"/>
            </w:pPr>
            <w:r>
              <w:rPr>
                <w:sz w:val="17"/>
              </w:rPr>
              <w:t>Model, prompt, playbook, retrieval source, tool permission, workflow, or material policy change</w:t>
            </w:r>
          </w:p>
        </w:tc>
        <w:tc>
          <w:tcPr>
            <w:tcW w:type="dxa" w:w="2448"/>
            <w:tcMar>
              <w:top w:w="105" w:type="dxa"/>
              <w:left w:w="120" w:type="dxa"/>
              <w:bottom w:w="105" w:type="dxa"/>
              <w:right w:w="120" w:type="dxa"/>
            </w:tcMar>
            <w:vAlign w:val="center"/>
            <w:shd w:fill="F4F7FA"/>
          </w:tcPr>
          <w:p>
            <w:pPr>
              <w:spacing w:after="40" w:line="250" w:lineRule="auto"/>
            </w:pPr>
            <w:r>
              <w:rPr>
                <w:sz w:val="17"/>
              </w:rPr>
              <w:t>Change and release record</w:t>
            </w:r>
          </w:p>
        </w:tc>
      </w:tr>
      <w:tr>
        <w:tc>
          <w:tcPr>
            <w:tcW w:type="dxa" w:w="1944"/>
            <w:tcMar>
              <w:top w:w="105" w:type="dxa"/>
              <w:left w:w="120" w:type="dxa"/>
              <w:bottom w:w="105" w:type="dxa"/>
              <w:right w:w="120" w:type="dxa"/>
            </w:tcMar>
            <w:vAlign w:val="center"/>
          </w:tcPr>
          <w:p>
            <w:pPr>
              <w:spacing w:after="40" w:line="250" w:lineRule="auto"/>
            </w:pPr>
            <w:r>
              <w:rPr>
                <w:sz w:val="17"/>
              </w:rPr>
              <w:t>Known limitations</w:t>
            </w:r>
          </w:p>
        </w:tc>
        <w:tc>
          <w:tcPr>
            <w:tcW w:type="dxa" w:w="5256"/>
            <w:tcMar>
              <w:top w:w="105" w:type="dxa"/>
              <w:left w:w="120" w:type="dxa"/>
              <w:bottom w:w="105" w:type="dxa"/>
              <w:right w:w="120" w:type="dxa"/>
            </w:tcMar>
            <w:vAlign w:val="center"/>
          </w:tcPr>
          <w:p>
            <w:pPr>
              <w:spacing w:after="40" w:line="250" w:lineRule="auto"/>
            </w:pPr>
            <w:r>
              <w:rPr>
                <w:sz w:val="17"/>
              </w:rPr>
              <w:t>May miss clauses, overstate risk, misread context, invent authority, or propose impractical language</w:t>
            </w:r>
          </w:p>
        </w:tc>
        <w:tc>
          <w:tcPr>
            <w:tcW w:type="dxa" w:w="2448"/>
            <w:tcMar>
              <w:top w:w="105" w:type="dxa"/>
              <w:left w:w="120" w:type="dxa"/>
              <w:bottom w:w="105" w:type="dxa"/>
              <w:right w:w="120" w:type="dxa"/>
            </w:tcMar>
            <w:vAlign w:val="center"/>
          </w:tcPr>
          <w:p>
            <w:pPr>
              <w:spacing w:after="40" w:line="250" w:lineRule="auto"/>
            </w:pPr>
            <w:r>
              <w:rPr>
                <w:sz w:val="17"/>
              </w:rPr>
              <w:t>Risk register and lawyer guide</w:t>
            </w:r>
          </w:p>
        </w:tc>
      </w:tr>
    </w:tbl>
    <w:p>
      <w:pPr>
        <w:spacing w:after="20"/>
      </w:pPr>
    </w:p>
    <w:p>
      <w:r>
        <w:br w:type="page"/>
      </w:r>
    </w:p>
    <w:p>
      <w:pPr>
        <w:pStyle w:val="Heading1"/>
      </w:pPr>
      <w:r>
        <w:t>Control and evidence register</w:t>
      </w:r>
    </w:p>
    <w:p>
      <w:r>
        <w:rPr>
          <w:color w:val="486581"/>
        </w:rPr>
        <w:t>A mapped control is not the same as an effective control. The status below identifies what the pilot implements, what evidence it produces, and what remains for a client deployment.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6"/>
        <w:gridCol w:w="2556"/>
        <w:gridCol w:w="2556"/>
        <w:gridCol w:w="2556"/>
      </w:tblGrid>
      <w:tr>
        <w:trPr>
          <w:tblHeader w:val="true"/>
        </w:trPr>
        <w:tc>
          <w:tcPr>
            <w:tcW w:type="dxa" w:w="1944"/>
            <w:shd w:fill="102A43"/>
            <w:tcMar>
              <w:top w:w="105" w:type="dxa"/>
              <w:left w:w="120" w:type="dxa"/>
              <w:bottom w:w="105" w:type="dxa"/>
              <w:right w:w="120" w:type="dxa"/>
            </w:tcMar>
            <w:vAlign w:val="center"/>
          </w:tcPr>
          <w:p>
            <w:r>
              <w:rPr>
                <w:b/>
                <w:color w:val="FFFFFF"/>
                <w:sz w:val="15"/>
              </w:rPr>
              <w:t>Control</w:t>
            </w:r>
          </w:p>
        </w:tc>
        <w:tc>
          <w:tcPr>
            <w:tcW w:type="dxa" w:w="2232"/>
            <w:shd w:fill="102A43"/>
            <w:tcMar>
              <w:top w:w="105" w:type="dxa"/>
              <w:left w:w="120" w:type="dxa"/>
              <w:bottom w:w="105" w:type="dxa"/>
              <w:right w:w="120" w:type="dxa"/>
            </w:tcMar>
            <w:vAlign w:val="center"/>
          </w:tcPr>
          <w:p>
            <w:r>
              <w:rPr>
                <w:b/>
                <w:color w:val="FFFFFF"/>
                <w:sz w:val="15"/>
              </w:rPr>
              <w:t>Framework mapping</w:t>
            </w:r>
          </w:p>
        </w:tc>
        <w:tc>
          <w:tcPr>
            <w:tcW w:type="dxa" w:w="3528"/>
            <w:shd w:fill="102A43"/>
            <w:tcMar>
              <w:top w:w="105" w:type="dxa"/>
              <w:left w:w="120" w:type="dxa"/>
              <w:bottom w:w="105" w:type="dxa"/>
              <w:right w:w="120" w:type="dxa"/>
            </w:tcMar>
            <w:vAlign w:val="center"/>
          </w:tcPr>
          <w:p>
            <w:r>
              <w:rPr>
                <w:b/>
                <w:color w:val="FFFFFF"/>
                <w:sz w:val="15"/>
              </w:rPr>
              <w:t>Pilot operation</w:t>
            </w:r>
          </w:p>
        </w:tc>
        <w:tc>
          <w:tcPr>
            <w:tcW w:type="dxa" w:w="1944"/>
            <w:shd w:fill="102A43"/>
            <w:tcMar>
              <w:top w:w="105" w:type="dxa"/>
              <w:left w:w="120" w:type="dxa"/>
              <w:bottom w:w="105" w:type="dxa"/>
              <w:right w:w="120" w:type="dxa"/>
            </w:tcMar>
            <w:vAlign w:val="center"/>
          </w:tcPr>
          <w:p>
            <w:r>
              <w:rPr>
                <w:b/>
                <w:color w:val="FFFFFF"/>
                <w:sz w:val="15"/>
              </w:rPr>
              <w:t>Evidence and status</w:t>
            </w:r>
          </w:p>
        </w:tc>
      </w:tr>
      <w:tr>
        <w:tc>
          <w:tcPr>
            <w:tcW w:type="dxa" w:w="1944"/>
            <w:tcMar>
              <w:top w:w="105" w:type="dxa"/>
              <w:left w:w="120" w:type="dxa"/>
              <w:bottom w:w="105" w:type="dxa"/>
              <w:right w:w="120" w:type="dxa"/>
            </w:tcMar>
            <w:vAlign w:val="center"/>
          </w:tcPr>
          <w:p>
            <w:pPr>
              <w:spacing w:after="40" w:line="250" w:lineRule="auto"/>
            </w:pPr>
            <w:r>
              <w:rPr>
                <w:sz w:val="15"/>
              </w:rPr>
              <w:t>Purpose and ownership</w:t>
            </w:r>
          </w:p>
        </w:tc>
        <w:tc>
          <w:tcPr>
            <w:tcW w:type="dxa" w:w="2232"/>
            <w:tcMar>
              <w:top w:w="105" w:type="dxa"/>
              <w:left w:w="120" w:type="dxa"/>
              <w:bottom w:w="105" w:type="dxa"/>
              <w:right w:w="120" w:type="dxa"/>
            </w:tcMar>
            <w:vAlign w:val="center"/>
          </w:tcPr>
          <w:p>
            <w:pPr>
              <w:spacing w:after="40" w:line="250" w:lineRule="auto"/>
            </w:pPr>
            <w:r>
              <w:rPr>
                <w:sz w:val="15"/>
              </w:rPr>
              <w:t>SERVE Strategy; NIST Govern; VERDICT Identity</w:t>
            </w:r>
          </w:p>
        </w:tc>
        <w:tc>
          <w:tcPr>
            <w:tcW w:type="dxa" w:w="3528"/>
            <w:tcMar>
              <w:top w:w="105" w:type="dxa"/>
              <w:left w:w="120" w:type="dxa"/>
              <w:bottom w:w="105" w:type="dxa"/>
              <w:right w:w="120" w:type="dxa"/>
            </w:tcMar>
            <w:vAlign w:val="center"/>
          </w:tcPr>
          <w:p>
            <w:pPr>
              <w:spacing w:after="40" w:line="250" w:lineRule="auto"/>
            </w:pPr>
            <w:r>
              <w:rPr>
                <w:sz w:val="15"/>
              </w:rPr>
              <w:t>Use case, owner, users, boundary, and prohibited uses are documented</w:t>
            </w:r>
          </w:p>
        </w:tc>
        <w:tc>
          <w:tcPr>
            <w:tcW w:type="dxa" w:w="1944"/>
            <w:tcMar>
              <w:top w:w="105" w:type="dxa"/>
              <w:left w:w="120" w:type="dxa"/>
              <w:bottom w:w="105" w:type="dxa"/>
              <w:right w:w="120" w:type="dxa"/>
            </w:tcMar>
            <w:vAlign w:val="center"/>
          </w:tcPr>
          <w:p>
            <w:pPr>
              <w:spacing w:after="40" w:line="250" w:lineRule="auto"/>
            </w:pPr>
            <w:r>
              <w:rPr>
                <w:sz w:val="15"/>
              </w:rPr>
              <w:t>System Card  Implemented</w:t>
            </w:r>
          </w:p>
        </w:tc>
      </w:tr>
      <w:tr>
        <w:tc>
          <w:tcPr>
            <w:tcW w:type="dxa" w:w="1944"/>
            <w:tcMar>
              <w:top w:w="105" w:type="dxa"/>
              <w:left w:w="120" w:type="dxa"/>
              <w:bottom w:w="105" w:type="dxa"/>
              <w:right w:w="120" w:type="dxa"/>
            </w:tcMar>
            <w:vAlign w:val="center"/>
            <w:shd w:fill="F4F7FA"/>
          </w:tcPr>
          <w:p>
            <w:pPr>
              <w:spacing w:after="40" w:line="250" w:lineRule="auto"/>
            </w:pPr>
            <w:r>
              <w:rPr>
                <w:sz w:val="15"/>
              </w:rPr>
              <w:t>Confidentiality boundary</w:t>
            </w:r>
          </w:p>
        </w:tc>
        <w:tc>
          <w:tcPr>
            <w:tcW w:type="dxa" w:w="2232"/>
            <w:tcMar>
              <w:top w:w="105" w:type="dxa"/>
              <w:left w:w="120" w:type="dxa"/>
              <w:bottom w:w="105" w:type="dxa"/>
              <w:right w:w="120" w:type="dxa"/>
            </w:tcMar>
            <w:vAlign w:val="center"/>
            <w:shd w:fill="F4F7FA"/>
          </w:tcPr>
          <w:p>
            <w:pPr>
              <w:spacing w:after="40" w:line="250" w:lineRule="auto"/>
            </w:pPr>
            <w:r>
              <w:rPr>
                <w:sz w:val="15"/>
              </w:rPr>
              <w:t>SERVE Execution and Risk; NIST Map and Manage</w:t>
            </w:r>
          </w:p>
        </w:tc>
        <w:tc>
          <w:tcPr>
            <w:tcW w:type="dxa" w:w="3528"/>
            <w:tcMar>
              <w:top w:w="105" w:type="dxa"/>
              <w:left w:w="120" w:type="dxa"/>
              <w:bottom w:w="105" w:type="dxa"/>
              <w:right w:w="120" w:type="dxa"/>
            </w:tcMar>
            <w:vAlign w:val="center"/>
            <w:shd w:fill="F4F7FA"/>
          </w:tcPr>
          <w:p>
            <w:pPr>
              <w:spacing w:after="40" w:line="250" w:lineRule="auto"/>
            </w:pPr>
            <w:r>
              <w:rPr>
                <w:sz w:val="15"/>
              </w:rPr>
              <w:t>Synthetic-only data; client data is prohibited in this environment</w:t>
            </w:r>
          </w:p>
        </w:tc>
        <w:tc>
          <w:tcPr>
            <w:tcW w:type="dxa" w:w="1944"/>
            <w:tcMar>
              <w:top w:w="105" w:type="dxa"/>
              <w:left w:w="120" w:type="dxa"/>
              <w:bottom w:w="105" w:type="dxa"/>
              <w:right w:w="120" w:type="dxa"/>
            </w:tcMar>
            <w:vAlign w:val="center"/>
            <w:shd w:fill="F4F7FA"/>
          </w:tcPr>
          <w:p>
            <w:pPr>
              <w:spacing w:after="40" w:line="250" w:lineRule="auto"/>
            </w:pPr>
            <w:r>
              <w:rPr>
                <w:sz w:val="15"/>
              </w:rPr>
              <w:t>Pilot notice  Evidence available</w:t>
            </w:r>
          </w:p>
        </w:tc>
      </w:tr>
      <w:tr>
        <w:tc>
          <w:tcPr>
            <w:tcW w:type="dxa" w:w="1944"/>
            <w:tcMar>
              <w:top w:w="105" w:type="dxa"/>
              <w:left w:w="120" w:type="dxa"/>
              <w:bottom w:w="105" w:type="dxa"/>
              <w:right w:w="120" w:type="dxa"/>
            </w:tcMar>
            <w:vAlign w:val="center"/>
          </w:tcPr>
          <w:p>
            <w:pPr>
              <w:spacing w:after="40" w:line="250" w:lineRule="auto"/>
            </w:pPr>
            <w:r>
              <w:rPr>
                <w:sz w:val="15"/>
              </w:rPr>
              <w:t>Source-grounded findings</w:t>
            </w:r>
          </w:p>
        </w:tc>
        <w:tc>
          <w:tcPr>
            <w:tcW w:type="dxa" w:w="2232"/>
            <w:tcMar>
              <w:top w:w="105" w:type="dxa"/>
              <w:left w:w="120" w:type="dxa"/>
              <w:bottom w:w="105" w:type="dxa"/>
              <w:right w:w="120" w:type="dxa"/>
            </w:tcMar>
            <w:vAlign w:val="center"/>
          </w:tcPr>
          <w:p>
            <w:pPr>
              <w:spacing w:after="40" w:line="250" w:lineRule="auto"/>
            </w:pPr>
            <w:r>
              <w:rPr>
                <w:sz w:val="15"/>
              </w:rPr>
              <w:t>SERVE Risk and Ethics; NIST Measure and Manage; VERDICT Evidence</w:t>
            </w:r>
          </w:p>
        </w:tc>
        <w:tc>
          <w:tcPr>
            <w:tcW w:type="dxa" w:w="3528"/>
            <w:tcMar>
              <w:top w:w="105" w:type="dxa"/>
              <w:left w:w="120" w:type="dxa"/>
              <w:bottom w:w="105" w:type="dxa"/>
              <w:right w:w="120" w:type="dxa"/>
            </w:tcMar>
            <w:vAlign w:val="center"/>
          </w:tcPr>
          <w:p>
            <w:pPr>
              <w:spacing w:after="40" w:line="250" w:lineRule="auto"/>
            </w:pPr>
            <w:r>
              <w:rPr>
                <w:sz w:val="15"/>
              </w:rPr>
              <w:t>Every released finding requires an exact quotation, page, and approved playbook rule</w:t>
            </w:r>
          </w:p>
        </w:tc>
        <w:tc>
          <w:tcPr>
            <w:tcW w:type="dxa" w:w="1944"/>
            <w:tcMar>
              <w:top w:w="105" w:type="dxa"/>
              <w:left w:w="120" w:type="dxa"/>
              <w:bottom w:w="105" w:type="dxa"/>
              <w:right w:w="120" w:type="dxa"/>
            </w:tcMar>
            <w:vAlign w:val="center"/>
          </w:tcPr>
          <w:p>
            <w:pPr>
              <w:spacing w:after="40" w:line="250" w:lineRule="auto"/>
            </w:pPr>
            <w:r>
              <w:rPr>
                <w:sz w:val="15"/>
              </w:rPr>
              <w:t>Finding record  Implemented</w:t>
            </w:r>
          </w:p>
        </w:tc>
      </w:tr>
      <w:tr>
        <w:tc>
          <w:tcPr>
            <w:tcW w:type="dxa" w:w="1944"/>
            <w:tcMar>
              <w:top w:w="105" w:type="dxa"/>
              <w:left w:w="120" w:type="dxa"/>
              <w:bottom w:w="105" w:type="dxa"/>
              <w:right w:w="120" w:type="dxa"/>
            </w:tcMar>
            <w:vAlign w:val="center"/>
            <w:shd w:fill="F4F7FA"/>
          </w:tcPr>
          <w:p>
            <w:pPr>
              <w:spacing w:after="40" w:line="250" w:lineRule="auto"/>
            </w:pPr>
            <w:r>
              <w:rPr>
                <w:sz w:val="15"/>
              </w:rPr>
              <w:t>Independent challenge</w:t>
            </w:r>
          </w:p>
        </w:tc>
        <w:tc>
          <w:tcPr>
            <w:tcW w:type="dxa" w:w="2232"/>
            <w:tcMar>
              <w:top w:w="105" w:type="dxa"/>
              <w:left w:w="120" w:type="dxa"/>
              <w:bottom w:w="105" w:type="dxa"/>
              <w:right w:w="120" w:type="dxa"/>
            </w:tcMar>
            <w:vAlign w:val="center"/>
            <w:shd w:fill="F4F7FA"/>
          </w:tcPr>
          <w:p>
            <w:pPr>
              <w:spacing w:after="40" w:line="250" w:lineRule="auto"/>
            </w:pPr>
            <w:r>
              <w:rPr>
                <w:sz w:val="15"/>
              </w:rPr>
              <w:t>SERVE Risk; NIST Measure; VERDICT Validation and Runtime Control</w:t>
            </w:r>
          </w:p>
        </w:tc>
        <w:tc>
          <w:tcPr>
            <w:tcW w:type="dxa" w:w="3528"/>
            <w:tcMar>
              <w:top w:w="105" w:type="dxa"/>
              <w:left w:w="120" w:type="dxa"/>
              <w:bottom w:w="105" w:type="dxa"/>
              <w:right w:w="120" w:type="dxa"/>
            </w:tcMar>
            <w:vAlign w:val="center"/>
            <w:shd w:fill="F4F7FA"/>
          </w:tcPr>
          <w:p>
            <w:pPr>
              <w:spacing w:after="40" w:line="250" w:lineRule="auto"/>
            </w:pPr>
            <w:r>
              <w:rPr>
                <w:sz w:val="15"/>
              </w:rPr>
              <w:t>Evidence Auditor must support, challenge, or reject each proposed finding</w:t>
            </w:r>
          </w:p>
        </w:tc>
        <w:tc>
          <w:tcPr>
            <w:tcW w:type="dxa" w:w="1944"/>
            <w:tcMar>
              <w:top w:w="105" w:type="dxa"/>
              <w:left w:w="120" w:type="dxa"/>
              <w:bottom w:w="105" w:type="dxa"/>
              <w:right w:w="120" w:type="dxa"/>
            </w:tcMar>
            <w:vAlign w:val="center"/>
            <w:shd w:fill="F4F7FA"/>
          </w:tcPr>
          <w:p>
            <w:pPr>
              <w:spacing w:after="40" w:line="250" w:lineRule="auto"/>
            </w:pPr>
            <w:r>
              <w:rPr>
                <w:sz w:val="15"/>
              </w:rPr>
              <w:t>Challenge ledger  Implemented</w:t>
            </w:r>
          </w:p>
        </w:tc>
      </w:tr>
      <w:tr>
        <w:tc>
          <w:tcPr>
            <w:tcW w:type="dxa" w:w="1944"/>
            <w:tcMar>
              <w:top w:w="105" w:type="dxa"/>
              <w:left w:w="120" w:type="dxa"/>
              <w:bottom w:w="105" w:type="dxa"/>
              <w:right w:w="120" w:type="dxa"/>
            </w:tcMar>
            <w:vAlign w:val="center"/>
          </w:tcPr>
          <w:p>
            <w:pPr>
              <w:spacing w:after="40" w:line="250" w:lineRule="auto"/>
            </w:pPr>
            <w:r>
              <w:rPr>
                <w:sz w:val="15"/>
              </w:rPr>
              <w:t>Human legal judgment</w:t>
            </w:r>
          </w:p>
        </w:tc>
        <w:tc>
          <w:tcPr>
            <w:tcW w:type="dxa" w:w="2232"/>
            <w:tcMar>
              <w:top w:w="105" w:type="dxa"/>
              <w:left w:w="120" w:type="dxa"/>
              <w:bottom w:w="105" w:type="dxa"/>
              <w:right w:w="120" w:type="dxa"/>
            </w:tcMar>
            <w:vAlign w:val="center"/>
          </w:tcPr>
          <w:p>
            <w:pPr>
              <w:spacing w:after="40" w:line="250" w:lineRule="auto"/>
            </w:pPr>
            <w:r>
              <w:rPr>
                <w:sz w:val="15"/>
              </w:rPr>
              <w:t>SERVE Execution and Ethics; NIST Govern and Manage</w:t>
            </w:r>
          </w:p>
        </w:tc>
        <w:tc>
          <w:tcPr>
            <w:tcW w:type="dxa" w:w="3528"/>
            <w:tcMar>
              <w:top w:w="105" w:type="dxa"/>
              <w:left w:w="120" w:type="dxa"/>
              <w:bottom w:w="105" w:type="dxa"/>
              <w:right w:w="120" w:type="dxa"/>
            </w:tcMar>
            <w:vAlign w:val="center"/>
          </w:tcPr>
          <w:p>
            <w:pPr>
              <w:spacing w:after="40" w:line="250" w:lineRule="auto"/>
            </w:pPr>
            <w:r>
              <w:rPr>
                <w:sz w:val="15"/>
              </w:rPr>
              <w:t>Attorney accepts, rejects, or escalates before legal work is released</w:t>
            </w:r>
          </w:p>
        </w:tc>
        <w:tc>
          <w:tcPr>
            <w:tcW w:type="dxa" w:w="1944"/>
            <w:tcMar>
              <w:top w:w="105" w:type="dxa"/>
              <w:left w:w="120" w:type="dxa"/>
              <w:bottom w:w="105" w:type="dxa"/>
              <w:right w:w="120" w:type="dxa"/>
            </w:tcMar>
            <w:vAlign w:val="center"/>
          </w:tcPr>
          <w:p>
            <w:pPr>
              <w:spacing w:after="40" w:line="250" w:lineRule="auto"/>
            </w:pPr>
            <w:r>
              <w:rPr>
                <w:sz w:val="15"/>
              </w:rPr>
              <w:t>Decision record  Implemented</w:t>
            </w:r>
          </w:p>
        </w:tc>
      </w:tr>
      <w:tr>
        <w:tc>
          <w:tcPr>
            <w:tcW w:type="dxa" w:w="1944"/>
            <w:tcMar>
              <w:top w:w="105" w:type="dxa"/>
              <w:left w:w="120" w:type="dxa"/>
              <w:bottom w:w="105" w:type="dxa"/>
              <w:right w:w="120" w:type="dxa"/>
            </w:tcMar>
            <w:vAlign w:val="center"/>
            <w:shd w:fill="F4F7FA"/>
          </w:tcPr>
          <w:p>
            <w:pPr>
              <w:spacing w:after="40" w:line="250" w:lineRule="auto"/>
            </w:pPr>
            <w:r>
              <w:rPr>
                <w:sz w:val="15"/>
              </w:rPr>
              <w:t>Controlled change</w:t>
            </w:r>
          </w:p>
        </w:tc>
        <w:tc>
          <w:tcPr>
            <w:tcW w:type="dxa" w:w="2232"/>
            <w:tcMar>
              <w:top w:w="105" w:type="dxa"/>
              <w:left w:w="120" w:type="dxa"/>
              <w:bottom w:w="105" w:type="dxa"/>
              <w:right w:w="120" w:type="dxa"/>
            </w:tcMar>
            <w:vAlign w:val="center"/>
            <w:shd w:fill="F4F7FA"/>
          </w:tcPr>
          <w:p>
            <w:pPr>
              <w:spacing w:after="40" w:line="250" w:lineRule="auto"/>
            </w:pPr>
            <w:r>
              <w:rPr>
                <w:sz w:val="15"/>
              </w:rPr>
              <w:t>SERVE Execution and Risk; NIST Measure and Manage</w:t>
            </w:r>
          </w:p>
        </w:tc>
        <w:tc>
          <w:tcPr>
            <w:tcW w:type="dxa" w:w="3528"/>
            <w:tcMar>
              <w:top w:w="105" w:type="dxa"/>
              <w:left w:w="120" w:type="dxa"/>
              <w:bottom w:w="105" w:type="dxa"/>
              <w:right w:w="120" w:type="dxa"/>
            </w:tcMar>
            <w:vAlign w:val="center"/>
            <w:shd w:fill="F4F7FA"/>
          </w:tcPr>
          <w:p>
            <w:pPr>
              <w:spacing w:after="40" w:line="250" w:lineRule="auto"/>
            </w:pPr>
            <w:r>
              <w:rPr>
                <w:sz w:val="15"/>
              </w:rPr>
              <w:t>Model, prompt, playbook, source, or workflow change requires revalidation</w:t>
            </w:r>
          </w:p>
        </w:tc>
        <w:tc>
          <w:tcPr>
            <w:tcW w:type="dxa" w:w="1944"/>
            <w:tcMar>
              <w:top w:w="105" w:type="dxa"/>
              <w:left w:w="120" w:type="dxa"/>
              <w:bottom w:w="105" w:type="dxa"/>
              <w:right w:w="120" w:type="dxa"/>
            </w:tcMar>
            <w:vAlign w:val="center"/>
            <w:shd w:fill="F4F7FA"/>
          </w:tcPr>
          <w:p>
            <w:pPr>
              <w:spacing w:after="40" w:line="250" w:lineRule="auto"/>
            </w:pPr>
            <w:r>
              <w:rPr>
                <w:sz w:val="15"/>
              </w:rPr>
              <w:t>Release record  Mapped for production</w:t>
            </w:r>
          </w:p>
        </w:tc>
      </w:tr>
      <w:tr>
        <w:tc>
          <w:tcPr>
            <w:tcW w:type="dxa" w:w="1944"/>
            <w:tcMar>
              <w:top w:w="105" w:type="dxa"/>
              <w:left w:w="120" w:type="dxa"/>
              <w:bottom w:w="105" w:type="dxa"/>
              <w:right w:w="120" w:type="dxa"/>
            </w:tcMar>
            <w:vAlign w:val="center"/>
          </w:tcPr>
          <w:p>
            <w:pPr>
              <w:spacing w:after="40" w:line="250" w:lineRule="auto"/>
            </w:pPr>
            <w:r>
              <w:rPr>
                <w:sz w:val="15"/>
              </w:rPr>
              <w:t>Incident response</w:t>
            </w:r>
          </w:p>
        </w:tc>
        <w:tc>
          <w:tcPr>
            <w:tcW w:type="dxa" w:w="2232"/>
            <w:tcMar>
              <w:top w:w="105" w:type="dxa"/>
              <w:left w:w="120" w:type="dxa"/>
              <w:bottom w:w="105" w:type="dxa"/>
              <w:right w:w="120" w:type="dxa"/>
            </w:tcMar>
            <w:vAlign w:val="center"/>
          </w:tcPr>
          <w:p>
            <w:pPr>
              <w:spacing w:after="40" w:line="250" w:lineRule="auto"/>
            </w:pPr>
            <w:r>
              <w:rPr>
                <w:sz w:val="15"/>
              </w:rPr>
              <w:t>SERVE Risk; NIST Manage; VERDICT Runtime Control</w:t>
            </w:r>
          </w:p>
        </w:tc>
        <w:tc>
          <w:tcPr>
            <w:tcW w:type="dxa" w:w="3528"/>
            <w:tcMar>
              <w:top w:w="105" w:type="dxa"/>
              <w:left w:w="120" w:type="dxa"/>
              <w:bottom w:w="105" w:type="dxa"/>
              <w:right w:w="120" w:type="dxa"/>
            </w:tcMar>
            <w:vAlign w:val="center"/>
          </w:tcPr>
          <w:p>
            <w:pPr>
              <w:spacing w:after="40" w:line="250" w:lineRule="auto"/>
            </w:pPr>
            <w:r>
              <w:rPr>
                <w:sz w:val="15"/>
              </w:rPr>
              <w:t>Detect, contain, preserve evidence, assign owner, correct, and approve resume</w:t>
            </w:r>
          </w:p>
        </w:tc>
        <w:tc>
          <w:tcPr>
            <w:tcW w:type="dxa" w:w="1944"/>
            <w:tcMar>
              <w:top w:w="105" w:type="dxa"/>
              <w:left w:w="120" w:type="dxa"/>
              <w:bottom w:w="105" w:type="dxa"/>
              <w:right w:w="120" w:type="dxa"/>
            </w:tcMar>
            <w:vAlign w:val="center"/>
          </w:tcPr>
          <w:p>
            <w:pPr>
              <w:spacing w:after="40" w:line="250" w:lineRule="auto"/>
            </w:pPr>
            <w:r>
              <w:rPr>
                <w:sz w:val="15"/>
              </w:rPr>
              <w:t>Assurance exercise  Demonstrated</w:t>
            </w:r>
          </w:p>
        </w:tc>
      </w:tr>
      <w:tr>
        <w:tc>
          <w:tcPr>
            <w:tcW w:type="dxa" w:w="1944"/>
            <w:tcMar>
              <w:top w:w="105" w:type="dxa"/>
              <w:left w:w="120" w:type="dxa"/>
              <w:bottom w:w="105" w:type="dxa"/>
              <w:right w:w="120" w:type="dxa"/>
            </w:tcMar>
            <w:vAlign w:val="center"/>
            <w:shd w:fill="F4F7FA"/>
          </w:tcPr>
          <w:p>
            <w:pPr>
              <w:spacing w:after="40" w:line="250" w:lineRule="auto"/>
            </w:pPr>
            <w:r>
              <w:rPr>
                <w:sz w:val="15"/>
              </w:rPr>
              <w:t>Performance monitoring</w:t>
            </w:r>
          </w:p>
        </w:tc>
        <w:tc>
          <w:tcPr>
            <w:tcW w:type="dxa" w:w="2232"/>
            <w:tcMar>
              <w:top w:w="105" w:type="dxa"/>
              <w:left w:w="120" w:type="dxa"/>
              <w:bottom w:w="105" w:type="dxa"/>
              <w:right w:w="120" w:type="dxa"/>
            </w:tcMar>
            <w:vAlign w:val="center"/>
            <w:shd w:fill="F4F7FA"/>
          </w:tcPr>
          <w:p>
            <w:pPr>
              <w:spacing w:after="40" w:line="250" w:lineRule="auto"/>
            </w:pPr>
            <w:r>
              <w:rPr>
                <w:sz w:val="15"/>
              </w:rPr>
              <w:t>SERVE Value; NIST Measure</w:t>
            </w:r>
          </w:p>
        </w:tc>
        <w:tc>
          <w:tcPr>
            <w:tcW w:type="dxa" w:w="3528"/>
            <w:tcMar>
              <w:top w:w="105" w:type="dxa"/>
              <w:left w:w="120" w:type="dxa"/>
              <w:bottom w:w="105" w:type="dxa"/>
              <w:right w:w="120" w:type="dxa"/>
            </w:tcMar>
            <w:vAlign w:val="center"/>
            <w:shd w:fill="F4F7FA"/>
          </w:tcPr>
          <w:p>
            <w:pPr>
              <w:spacing w:after="40" w:line="250" w:lineRule="auto"/>
            </w:pPr>
            <w:r>
              <w:rPr>
                <w:sz w:val="15"/>
              </w:rPr>
              <w:t>Critical recall, citation accuracy, challenge effectiveness, overrides, acceptance, and cycle time</w:t>
            </w:r>
          </w:p>
        </w:tc>
        <w:tc>
          <w:tcPr>
            <w:tcW w:type="dxa" w:w="1944"/>
            <w:tcMar>
              <w:top w:w="105" w:type="dxa"/>
              <w:left w:w="120" w:type="dxa"/>
              <w:bottom w:w="105" w:type="dxa"/>
              <w:right w:w="120" w:type="dxa"/>
            </w:tcMar>
            <w:vAlign w:val="center"/>
            <w:shd w:fill="F4F7FA"/>
          </w:tcPr>
          <w:p>
            <w:pPr>
              <w:spacing w:after="40" w:line="250" w:lineRule="auto"/>
            </w:pPr>
            <w:r>
              <w:rPr>
                <w:sz w:val="15"/>
              </w:rPr>
              <w:t>Golden-matter scorecard  Implemented</w:t>
            </w:r>
          </w:p>
        </w:tc>
      </w:tr>
    </w:tbl>
    <w:p>
      <w:pPr>
        <w:spacing w:after="20"/>
      </w:pPr>
    </w:p>
    <w:p>
      <w:r>
        <w:br w:type="page"/>
      </w:r>
    </w:p>
    <w:p>
      <w:pPr>
        <w:pStyle w:val="Heading1"/>
      </w:pPr>
      <w:r>
        <w:t>Illinois applicability</w:t>
      </w:r>
    </w:p>
    <w:p>
      <w:r>
        <w:rPr>
          <w:color w:val="486581"/>
        </w:rPr>
        <w:t>Applicability is determined by the use case, data, users, and actions. This register separates direct professional duties from conditional statutes and out-of-scope requirements.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6"/>
        <w:gridCol w:w="2556"/>
        <w:gridCol w:w="2556"/>
        <w:gridCol w:w="2556"/>
      </w:tblGrid>
      <w:tr>
        <w:trPr>
          <w:tblHeader w:val="true"/>
        </w:trPr>
        <w:tc>
          <w:tcPr>
            <w:tcW w:type="dxa" w:w="2376"/>
            <w:shd w:fill="102A43"/>
            <w:tcMar>
              <w:top w:w="105" w:type="dxa"/>
              <w:left w:w="120" w:type="dxa"/>
              <w:bottom w:w="105" w:type="dxa"/>
              <w:right w:w="120" w:type="dxa"/>
            </w:tcMar>
            <w:vAlign w:val="center"/>
          </w:tcPr>
          <w:p>
            <w:r>
              <w:rPr>
                <w:b/>
                <w:color w:val="FFFFFF"/>
                <w:sz w:val="15"/>
              </w:rPr>
              <w:t>Authority or obligation</w:t>
            </w:r>
          </w:p>
        </w:tc>
        <w:tc>
          <w:tcPr>
            <w:tcW w:type="dxa" w:w="1440"/>
            <w:shd w:fill="102A43"/>
            <w:tcMar>
              <w:top w:w="105" w:type="dxa"/>
              <w:left w:w="120" w:type="dxa"/>
              <w:bottom w:w="105" w:type="dxa"/>
              <w:right w:w="120" w:type="dxa"/>
            </w:tcMar>
            <w:vAlign w:val="center"/>
          </w:tcPr>
          <w:p>
            <w:r>
              <w:rPr>
                <w:b/>
                <w:color w:val="FFFFFF"/>
                <w:sz w:val="15"/>
              </w:rPr>
              <w:t>Applicability</w:t>
            </w:r>
          </w:p>
        </w:tc>
        <w:tc>
          <w:tcPr>
            <w:tcW w:type="dxa" w:w="4248"/>
            <w:shd w:fill="102A43"/>
            <w:tcMar>
              <w:top w:w="105" w:type="dxa"/>
              <w:left w:w="120" w:type="dxa"/>
              <w:bottom w:w="105" w:type="dxa"/>
              <w:right w:w="120" w:type="dxa"/>
            </w:tcMar>
            <w:vAlign w:val="center"/>
          </w:tcPr>
          <w:p>
            <w:r>
              <w:rPr>
                <w:b/>
                <w:color w:val="FFFFFF"/>
                <w:sz w:val="15"/>
              </w:rPr>
              <w:t>Control response</w:t>
            </w:r>
          </w:p>
        </w:tc>
        <w:tc>
          <w:tcPr>
            <w:tcW w:type="dxa" w:w="1584"/>
            <w:shd w:fill="102A43"/>
            <w:tcMar>
              <w:top w:w="105" w:type="dxa"/>
              <w:left w:w="120" w:type="dxa"/>
              <w:bottom w:w="105" w:type="dxa"/>
              <w:right w:w="120" w:type="dxa"/>
            </w:tcMar>
            <w:vAlign w:val="center"/>
          </w:tcPr>
          <w:p>
            <w:r>
              <w:rPr>
                <w:b/>
                <w:color w:val="FFFFFF"/>
                <w:sz w:val="15"/>
              </w:rPr>
              <w:t>Evidence</w:t>
            </w:r>
          </w:p>
        </w:tc>
      </w:tr>
      <w:tr>
        <w:tc>
          <w:tcPr>
            <w:tcW w:type="dxa" w:w="2376"/>
            <w:tcMar>
              <w:top w:w="105" w:type="dxa"/>
              <w:left w:w="120" w:type="dxa"/>
              <w:bottom w:w="105" w:type="dxa"/>
              <w:right w:w="120" w:type="dxa"/>
            </w:tcMar>
            <w:vAlign w:val="center"/>
          </w:tcPr>
          <w:p>
            <w:pPr>
              <w:spacing w:after="40" w:line="250" w:lineRule="auto"/>
            </w:pPr>
            <w:r>
              <w:rPr>
                <w:sz w:val="15"/>
              </w:rPr>
              <w:t>Illinois Supreme Court Policy on Artificial Intelligence</w:t>
            </w:r>
          </w:p>
        </w:tc>
        <w:tc>
          <w:tcPr>
            <w:tcW w:type="dxa" w:w="1440"/>
            <w:tcMar>
              <w:top w:w="105" w:type="dxa"/>
              <w:left w:w="120" w:type="dxa"/>
              <w:bottom w:w="105" w:type="dxa"/>
              <w:right w:w="120" w:type="dxa"/>
            </w:tcMar>
            <w:vAlign w:val="center"/>
          </w:tcPr>
          <w:p>
            <w:pPr>
              <w:spacing w:after="40" w:line="250" w:lineRule="auto"/>
            </w:pPr>
            <w:r>
              <w:rPr>
                <w:sz w:val="15"/>
              </w:rPr>
              <w:t>Direct</w:t>
            </w:r>
          </w:p>
        </w:tc>
        <w:tc>
          <w:tcPr>
            <w:tcW w:type="dxa" w:w="4248"/>
            <w:tcMar>
              <w:top w:w="105" w:type="dxa"/>
              <w:left w:w="120" w:type="dxa"/>
              <w:bottom w:w="105" w:type="dxa"/>
              <w:right w:w="120" w:type="dxa"/>
            </w:tcMar>
            <w:vAlign w:val="center"/>
          </w:tcPr>
          <w:p>
            <w:pPr>
              <w:spacing w:after="40" w:line="250" w:lineRule="auto"/>
            </w:pPr>
            <w:r>
              <w:rPr>
                <w:sz w:val="15"/>
              </w:rPr>
              <w:t>AI use remains subject to legal and ethical standards; attorneys review and assume responsibility for incorporated output</w:t>
            </w:r>
          </w:p>
        </w:tc>
        <w:tc>
          <w:tcPr>
            <w:tcW w:type="dxa" w:w="1584"/>
            <w:tcMar>
              <w:top w:w="105" w:type="dxa"/>
              <w:left w:w="120" w:type="dxa"/>
              <w:bottom w:w="105" w:type="dxa"/>
              <w:right w:w="120" w:type="dxa"/>
            </w:tcMar>
            <w:vAlign w:val="center"/>
          </w:tcPr>
          <w:p>
            <w:pPr>
              <w:spacing w:after="40" w:line="250" w:lineRule="auto"/>
            </w:pPr>
            <w:r>
              <w:rPr>
                <w:sz w:val="15"/>
              </w:rPr>
              <w:t>Human decision gate and audit trail</w:t>
            </w:r>
          </w:p>
        </w:tc>
      </w:tr>
      <w:tr>
        <w:tc>
          <w:tcPr>
            <w:tcW w:type="dxa" w:w="2376"/>
            <w:tcMar>
              <w:top w:w="105" w:type="dxa"/>
              <w:left w:w="120" w:type="dxa"/>
              <w:bottom w:w="105" w:type="dxa"/>
              <w:right w:w="120" w:type="dxa"/>
            </w:tcMar>
            <w:vAlign w:val="center"/>
            <w:shd w:fill="F4F7FA"/>
          </w:tcPr>
          <w:p>
            <w:pPr>
              <w:spacing w:after="40" w:line="250" w:lineRule="auto"/>
            </w:pPr>
            <w:r>
              <w:rPr>
                <w:sz w:val="15"/>
              </w:rPr>
              <w:t>Illinois Rules of Professional Conduct</w:t>
            </w:r>
          </w:p>
        </w:tc>
        <w:tc>
          <w:tcPr>
            <w:tcW w:type="dxa" w:w="1440"/>
            <w:tcMar>
              <w:top w:w="105" w:type="dxa"/>
              <w:left w:w="120" w:type="dxa"/>
              <w:bottom w:w="105" w:type="dxa"/>
              <w:right w:w="120" w:type="dxa"/>
            </w:tcMar>
            <w:vAlign w:val="center"/>
            <w:shd w:fill="F4F7FA"/>
          </w:tcPr>
          <w:p>
            <w:pPr>
              <w:spacing w:after="40" w:line="250" w:lineRule="auto"/>
            </w:pPr>
            <w:r>
              <w:rPr>
                <w:sz w:val="15"/>
              </w:rPr>
              <w:t>Direct</w:t>
            </w:r>
          </w:p>
        </w:tc>
        <w:tc>
          <w:tcPr>
            <w:tcW w:type="dxa" w:w="4248"/>
            <w:tcMar>
              <w:top w:w="105" w:type="dxa"/>
              <w:left w:w="120" w:type="dxa"/>
              <w:bottom w:w="105" w:type="dxa"/>
              <w:right w:w="120" w:type="dxa"/>
            </w:tcMar>
            <w:vAlign w:val="center"/>
            <w:shd w:fill="F4F7FA"/>
          </w:tcPr>
          <w:p>
            <w:pPr>
              <w:spacing w:after="40" w:line="250" w:lineRule="auto"/>
            </w:pPr>
            <w:r>
              <w:rPr>
                <w:sz w:val="15"/>
              </w:rPr>
              <w:t>Support competence, confidentiality, supervision, communication, candor, and protection of sensitive information</w:t>
            </w:r>
          </w:p>
        </w:tc>
        <w:tc>
          <w:tcPr>
            <w:tcW w:type="dxa" w:w="1584"/>
            <w:tcMar>
              <w:top w:w="105" w:type="dxa"/>
              <w:left w:w="120" w:type="dxa"/>
              <w:bottom w:w="105" w:type="dxa"/>
              <w:right w:w="120" w:type="dxa"/>
            </w:tcMar>
            <w:vAlign w:val="center"/>
            <w:shd w:fill="F4F7FA"/>
          </w:tcPr>
          <w:p>
            <w:pPr>
              <w:spacing w:after="40" w:line="250" w:lineRule="auto"/>
            </w:pPr>
            <w:r>
              <w:rPr>
                <w:sz w:val="15"/>
              </w:rPr>
              <w:t>Training, access, evidence review, approved-use policy</w:t>
            </w:r>
          </w:p>
        </w:tc>
      </w:tr>
      <w:tr>
        <w:tc>
          <w:tcPr>
            <w:tcW w:type="dxa" w:w="2376"/>
            <w:tcMar>
              <w:top w:w="105" w:type="dxa"/>
              <w:left w:w="120" w:type="dxa"/>
              <w:bottom w:w="105" w:type="dxa"/>
              <w:right w:w="120" w:type="dxa"/>
            </w:tcMar>
            <w:vAlign w:val="center"/>
          </w:tcPr>
          <w:p>
            <w:pPr>
              <w:spacing w:after="40" w:line="250" w:lineRule="auto"/>
            </w:pPr>
            <w:r>
              <w:rPr>
                <w:sz w:val="15"/>
              </w:rPr>
              <w:t>ARDC Implementing Generative AI for Illinois Attorneys</w:t>
            </w:r>
          </w:p>
        </w:tc>
        <w:tc>
          <w:tcPr>
            <w:tcW w:type="dxa" w:w="1440"/>
            <w:tcMar>
              <w:top w:w="105" w:type="dxa"/>
              <w:left w:w="120" w:type="dxa"/>
              <w:bottom w:w="105" w:type="dxa"/>
              <w:right w:w="120" w:type="dxa"/>
            </w:tcMar>
            <w:vAlign w:val="center"/>
          </w:tcPr>
          <w:p>
            <w:pPr>
              <w:spacing w:after="40" w:line="250" w:lineRule="auto"/>
            </w:pPr>
            <w:r>
              <w:rPr>
                <w:sz w:val="15"/>
              </w:rPr>
              <w:t>Guidance</w:t>
            </w:r>
          </w:p>
        </w:tc>
        <w:tc>
          <w:tcPr>
            <w:tcW w:type="dxa" w:w="4248"/>
            <w:tcMar>
              <w:top w:w="105" w:type="dxa"/>
              <w:left w:w="120" w:type="dxa"/>
              <w:bottom w:w="105" w:type="dxa"/>
              <w:right w:w="120" w:type="dxa"/>
            </w:tcMar>
            <w:vAlign w:val="center"/>
          </w:tcPr>
          <w:p>
            <w:pPr>
              <w:spacing w:after="40" w:line="250" w:lineRule="auto"/>
            </w:pPr>
            <w:r>
              <w:rPr>
                <w:sz w:val="15"/>
              </w:rPr>
              <w:t>Classify information, categorize the tool, evaluate safeguards, document the choice, and manage client rights</w:t>
            </w:r>
          </w:p>
        </w:tc>
        <w:tc>
          <w:tcPr>
            <w:tcW w:type="dxa" w:w="1584"/>
            <w:tcMar>
              <w:top w:w="105" w:type="dxa"/>
              <w:left w:w="120" w:type="dxa"/>
              <w:bottom w:w="105" w:type="dxa"/>
              <w:right w:w="120" w:type="dxa"/>
            </w:tcMar>
            <w:vAlign w:val="center"/>
          </w:tcPr>
          <w:p>
            <w:pPr>
              <w:spacing w:after="40" w:line="250" w:lineRule="auto"/>
            </w:pPr>
            <w:r>
              <w:rPr>
                <w:sz w:val="15"/>
              </w:rPr>
              <w:t>System Card, vendor review, client-use decision</w:t>
            </w:r>
          </w:p>
        </w:tc>
      </w:tr>
      <w:tr>
        <w:tc>
          <w:tcPr>
            <w:tcW w:type="dxa" w:w="2376"/>
            <w:tcMar>
              <w:top w:w="105" w:type="dxa"/>
              <w:left w:w="120" w:type="dxa"/>
              <w:bottom w:w="105" w:type="dxa"/>
              <w:right w:w="120" w:type="dxa"/>
            </w:tcMar>
            <w:vAlign w:val="center"/>
            <w:shd w:fill="F4F7FA"/>
          </w:tcPr>
          <w:p>
            <w:pPr>
              <w:spacing w:after="40" w:line="250" w:lineRule="auto"/>
            </w:pPr>
            <w:r>
              <w:rPr>
                <w:sz w:val="15"/>
              </w:rPr>
              <w:t>Illinois Personal Information Protection Act</w:t>
            </w:r>
          </w:p>
        </w:tc>
        <w:tc>
          <w:tcPr>
            <w:tcW w:type="dxa" w:w="1440"/>
            <w:tcMar>
              <w:top w:w="105" w:type="dxa"/>
              <w:left w:w="120" w:type="dxa"/>
              <w:bottom w:w="105" w:type="dxa"/>
              <w:right w:w="120" w:type="dxa"/>
            </w:tcMar>
            <w:vAlign w:val="center"/>
            <w:shd w:fill="F4F7FA"/>
          </w:tcPr>
          <w:p>
            <w:pPr>
              <w:spacing w:after="40" w:line="250" w:lineRule="auto"/>
            </w:pPr>
            <w:r>
              <w:rPr>
                <w:sz w:val="15"/>
              </w:rPr>
              <w:t>Conditional</w:t>
            </w:r>
          </w:p>
        </w:tc>
        <w:tc>
          <w:tcPr>
            <w:tcW w:type="dxa" w:w="4248"/>
            <w:tcMar>
              <w:top w:w="105" w:type="dxa"/>
              <w:left w:w="120" w:type="dxa"/>
              <w:bottom w:w="105" w:type="dxa"/>
              <w:right w:w="120" w:type="dxa"/>
            </w:tcMar>
            <w:vAlign w:val="center"/>
            <w:shd w:fill="F4F7FA"/>
          </w:tcPr>
          <w:p>
            <w:pPr>
              <w:spacing w:after="40" w:line="250" w:lineRule="auto"/>
            </w:pPr>
            <w:r>
              <w:rPr>
                <w:sz w:val="15"/>
              </w:rPr>
              <w:t>Assess production data and apply security, retention, disposal, and incident obligations when covered personal information is processed</w:t>
            </w:r>
          </w:p>
        </w:tc>
        <w:tc>
          <w:tcPr>
            <w:tcW w:type="dxa" w:w="1584"/>
            <w:tcMar>
              <w:top w:w="105" w:type="dxa"/>
              <w:left w:w="120" w:type="dxa"/>
              <w:bottom w:w="105" w:type="dxa"/>
              <w:right w:w="120" w:type="dxa"/>
            </w:tcMar>
            <w:vAlign w:val="center"/>
            <w:shd w:fill="F4F7FA"/>
          </w:tcPr>
          <w:p>
            <w:pPr>
              <w:spacing w:after="40" w:line="250" w:lineRule="auto"/>
            </w:pPr>
            <w:r>
              <w:rPr>
                <w:sz w:val="15"/>
              </w:rPr>
              <w:t>Data inventory and incident plan for production</w:t>
            </w:r>
          </w:p>
        </w:tc>
      </w:tr>
      <w:tr>
        <w:tc>
          <w:tcPr>
            <w:tcW w:type="dxa" w:w="2376"/>
            <w:tcMar>
              <w:top w:w="105" w:type="dxa"/>
              <w:left w:w="120" w:type="dxa"/>
              <w:bottom w:w="105" w:type="dxa"/>
              <w:right w:w="120" w:type="dxa"/>
            </w:tcMar>
            <w:vAlign w:val="center"/>
          </w:tcPr>
          <w:p>
            <w:pPr>
              <w:spacing w:after="40" w:line="250" w:lineRule="auto"/>
            </w:pPr>
            <w:r>
              <w:rPr>
                <w:sz w:val="15"/>
              </w:rPr>
              <w:t>Biometric Information Privacy Act</w:t>
            </w:r>
          </w:p>
        </w:tc>
        <w:tc>
          <w:tcPr>
            <w:tcW w:type="dxa" w:w="1440"/>
            <w:tcMar>
              <w:top w:w="105" w:type="dxa"/>
              <w:left w:w="120" w:type="dxa"/>
              <w:bottom w:w="105" w:type="dxa"/>
              <w:right w:w="120" w:type="dxa"/>
            </w:tcMar>
            <w:vAlign w:val="center"/>
          </w:tcPr>
          <w:p>
            <w:pPr>
              <w:spacing w:after="40" w:line="250" w:lineRule="auto"/>
            </w:pPr>
            <w:r>
              <w:rPr>
                <w:sz w:val="15"/>
              </w:rPr>
              <w:t>Out of current scope</w:t>
            </w:r>
          </w:p>
        </w:tc>
        <w:tc>
          <w:tcPr>
            <w:tcW w:type="dxa" w:w="4248"/>
            <w:tcMar>
              <w:top w:w="105" w:type="dxa"/>
              <w:left w:w="120" w:type="dxa"/>
              <w:bottom w:w="105" w:type="dxa"/>
              <w:right w:w="120" w:type="dxa"/>
            </w:tcMar>
            <w:vAlign w:val="center"/>
          </w:tcPr>
          <w:p>
            <w:pPr>
              <w:spacing w:after="40" w:line="250" w:lineRule="auto"/>
            </w:pPr>
            <w:r>
              <w:rPr>
                <w:sz w:val="15"/>
              </w:rPr>
              <w:t>Do not collect or process biometric identifiers in this workflow; reassess before any biometric feature</w:t>
            </w:r>
          </w:p>
        </w:tc>
        <w:tc>
          <w:tcPr>
            <w:tcW w:type="dxa" w:w="1584"/>
            <w:tcMar>
              <w:top w:w="105" w:type="dxa"/>
              <w:left w:w="120" w:type="dxa"/>
              <w:bottom w:w="105" w:type="dxa"/>
              <w:right w:w="120" w:type="dxa"/>
            </w:tcMar>
            <w:vAlign w:val="center"/>
          </w:tcPr>
          <w:p>
            <w:pPr>
              <w:spacing w:after="40" w:line="250" w:lineRule="auto"/>
            </w:pPr>
            <w:r>
              <w:rPr>
                <w:sz w:val="15"/>
              </w:rPr>
              <w:t>Prohibited-data rule</w:t>
            </w:r>
          </w:p>
        </w:tc>
      </w:tr>
      <w:tr>
        <w:tc>
          <w:tcPr>
            <w:tcW w:type="dxa" w:w="2376"/>
            <w:tcMar>
              <w:top w:w="105" w:type="dxa"/>
              <w:left w:w="120" w:type="dxa"/>
              <w:bottom w:w="105" w:type="dxa"/>
              <w:right w:w="120" w:type="dxa"/>
            </w:tcMar>
            <w:vAlign w:val="center"/>
            <w:shd w:fill="F4F7FA"/>
          </w:tcPr>
          <w:p>
            <w:pPr>
              <w:spacing w:after="40" w:line="250" w:lineRule="auto"/>
            </w:pPr>
            <w:r>
              <w:rPr>
                <w:sz w:val="15"/>
              </w:rPr>
              <w:t>Illinois employment AI and video interview requirements</w:t>
            </w:r>
          </w:p>
        </w:tc>
        <w:tc>
          <w:tcPr>
            <w:tcW w:type="dxa" w:w="1440"/>
            <w:tcMar>
              <w:top w:w="105" w:type="dxa"/>
              <w:left w:w="120" w:type="dxa"/>
              <w:bottom w:w="105" w:type="dxa"/>
              <w:right w:w="120" w:type="dxa"/>
            </w:tcMar>
            <w:vAlign w:val="center"/>
            <w:shd w:fill="F4F7FA"/>
          </w:tcPr>
          <w:p>
            <w:pPr>
              <w:spacing w:after="40" w:line="250" w:lineRule="auto"/>
            </w:pPr>
            <w:r>
              <w:rPr>
                <w:sz w:val="15"/>
              </w:rPr>
              <w:t>Out of current scope</w:t>
            </w:r>
          </w:p>
        </w:tc>
        <w:tc>
          <w:tcPr>
            <w:tcW w:type="dxa" w:w="4248"/>
            <w:tcMar>
              <w:top w:w="105" w:type="dxa"/>
              <w:left w:w="120" w:type="dxa"/>
              <w:bottom w:w="105" w:type="dxa"/>
              <w:right w:w="120" w:type="dxa"/>
            </w:tcMar>
            <w:vAlign w:val="center"/>
            <w:shd w:fill="F4F7FA"/>
          </w:tcPr>
          <w:p>
            <w:pPr>
              <w:spacing w:after="40" w:line="250" w:lineRule="auto"/>
            </w:pPr>
            <w:r>
              <w:rPr>
                <w:sz w:val="15"/>
              </w:rPr>
              <w:t>Contract review does not make employment decisions; open a new assessment before an HR use case</w:t>
            </w:r>
          </w:p>
        </w:tc>
        <w:tc>
          <w:tcPr>
            <w:tcW w:type="dxa" w:w="1584"/>
            <w:tcMar>
              <w:top w:w="105" w:type="dxa"/>
              <w:left w:w="120" w:type="dxa"/>
              <w:bottom w:w="105" w:type="dxa"/>
              <w:right w:w="120" w:type="dxa"/>
            </w:tcMar>
            <w:vAlign w:val="center"/>
            <w:shd w:fill="F4F7FA"/>
          </w:tcPr>
          <w:p>
            <w:pPr>
              <w:spacing w:after="40" w:line="250" w:lineRule="auto"/>
            </w:pPr>
            <w:r>
              <w:rPr>
                <w:sz w:val="15"/>
              </w:rPr>
              <w:t>Use-case boundary</w:t>
            </w:r>
          </w:p>
        </w:tc>
      </w:tr>
    </w:tbl>
    <w:p>
      <w:pPr>
        <w:spacing w:after="20"/>
      </w:pPr>
    </w:p>
    <w:p>
      <w:r>
        <w:t>This applicability register is an implementation aid, not a legal opinion. Counsel should confirm the governing rules, client commitments, court requirements, and facts before production use.</w:t>
      </w:r>
    </w:p>
    <w:p>
      <w:r>
        <w:br w:type="page"/>
      </w:r>
    </w:p>
    <w:p>
      <w:pPr>
        <w:pStyle w:val="Heading1"/>
      </w:pPr>
      <w:r>
        <w:t>Release gate and runtime assurance</w:t>
      </w:r>
    </w:p>
    <w:p>
      <w:r>
        <w:rPr>
          <w:color w:val="486581"/>
        </w:rPr>
        <w:t>The pilot must demonstrate that controls affect system behavior. Passing documentation alone is insufficient.</w:t>
      </w:r>
    </w:p>
    <w:p>
      <w:pPr>
        <w:pStyle w:val="Heading2"/>
      </w:pPr>
      <w:r>
        <w:t>Release gate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8"/>
        <w:gridCol w:w="3408"/>
        <w:gridCol w:w="3408"/>
      </w:tblGrid>
      <w:tr>
        <w:trPr>
          <w:tblHeader w:val="true"/>
        </w:trPr>
        <w:tc>
          <w:tcPr>
            <w:tcW w:type="dxa" w:w="2160"/>
            <w:shd w:fill="102A43"/>
            <w:tcMar>
              <w:top w:w="105" w:type="dxa"/>
              <w:left w:w="120" w:type="dxa"/>
              <w:bottom w:w="105" w:type="dxa"/>
              <w:right w:w="120" w:type="dxa"/>
            </w:tcMar>
            <w:vAlign w:val="center"/>
          </w:tcPr>
          <w:p>
            <w:r>
              <w:rPr>
                <w:b/>
                <w:color w:val="FFFFFF"/>
                <w:sz w:val="16"/>
              </w:rPr>
              <w:t>Gate</w:t>
            </w:r>
          </w:p>
        </w:tc>
        <w:tc>
          <w:tcPr>
            <w:tcW w:type="dxa" w:w="5472"/>
            <w:shd w:fill="102A43"/>
            <w:tcMar>
              <w:top w:w="105" w:type="dxa"/>
              <w:left w:w="120" w:type="dxa"/>
              <w:bottom w:w="105" w:type="dxa"/>
              <w:right w:w="120" w:type="dxa"/>
            </w:tcMar>
            <w:vAlign w:val="center"/>
          </w:tcPr>
          <w:p>
            <w:r>
              <w:rPr>
                <w:b/>
                <w:color w:val="FFFFFF"/>
                <w:sz w:val="16"/>
              </w:rPr>
              <w:t>Minimum evidence</w:t>
            </w:r>
          </w:p>
        </w:tc>
        <w:tc>
          <w:tcPr>
            <w:tcW w:type="dxa" w:w="2016"/>
            <w:shd w:fill="102A43"/>
            <w:tcMar>
              <w:top w:w="105" w:type="dxa"/>
              <w:left w:w="120" w:type="dxa"/>
              <w:bottom w:w="105" w:type="dxa"/>
              <w:right w:w="120" w:type="dxa"/>
            </w:tcMar>
            <w:vAlign w:val="center"/>
          </w:tcPr>
          <w:p>
            <w:r>
              <w:rPr>
                <w:b/>
                <w:color w:val="FFFFFF"/>
                <w:sz w:val="16"/>
              </w:rPr>
              <w:t>Pilot status</w:t>
            </w:r>
          </w:p>
        </w:tc>
      </w:tr>
      <w:tr>
        <w:tc>
          <w:tcPr>
            <w:tcW w:type="dxa" w:w="2160"/>
            <w:tcMar>
              <w:top w:w="105" w:type="dxa"/>
              <w:left w:w="120" w:type="dxa"/>
              <w:bottom w:w="105" w:type="dxa"/>
              <w:right w:w="120" w:type="dxa"/>
            </w:tcMar>
            <w:vAlign w:val="center"/>
          </w:tcPr>
          <w:p>
            <w:pPr>
              <w:spacing w:after="40" w:line="250" w:lineRule="auto"/>
            </w:pPr>
            <w:r>
              <w:rPr>
                <w:sz w:val="16"/>
              </w:rPr>
              <w:t>Approved scope</w:t>
            </w:r>
          </w:p>
        </w:tc>
        <w:tc>
          <w:tcPr>
            <w:tcW w:type="dxa" w:w="5472"/>
            <w:tcMar>
              <w:top w:w="105" w:type="dxa"/>
              <w:left w:w="120" w:type="dxa"/>
              <w:bottom w:w="105" w:type="dxa"/>
              <w:right w:w="120" w:type="dxa"/>
            </w:tcMar>
            <w:vAlign w:val="center"/>
          </w:tcPr>
          <w:p>
            <w:pPr>
              <w:spacing w:after="40" w:line="250" w:lineRule="auto"/>
            </w:pPr>
            <w:r>
              <w:rPr>
                <w:sz w:val="16"/>
              </w:rPr>
              <w:t>Purpose, users, owner, prohibited uses, autonomy boundary</w:t>
            </w:r>
          </w:p>
        </w:tc>
        <w:tc>
          <w:tcPr>
            <w:tcW w:type="dxa" w:w="2016"/>
            <w:tcMar>
              <w:top w:w="105" w:type="dxa"/>
              <w:left w:w="120" w:type="dxa"/>
              <w:bottom w:w="105" w:type="dxa"/>
              <w:right w:w="120" w:type="dxa"/>
            </w:tcMar>
            <w:vAlign w:val="center"/>
          </w:tcPr>
          <w:p>
            <w:pPr>
              <w:spacing w:after="40" w:line="250" w:lineRule="auto"/>
            </w:pPr>
            <w:r>
              <w:rPr>
                <w:sz w:val="16"/>
              </w:rPr>
              <w:t>Pass</w:t>
            </w:r>
          </w:p>
        </w:tc>
      </w:tr>
      <w:tr>
        <w:tc>
          <w:tcPr>
            <w:tcW w:type="dxa" w:w="2160"/>
            <w:tcMar>
              <w:top w:w="105" w:type="dxa"/>
              <w:left w:w="120" w:type="dxa"/>
              <w:bottom w:w="105" w:type="dxa"/>
              <w:right w:w="120" w:type="dxa"/>
            </w:tcMar>
            <w:vAlign w:val="center"/>
            <w:shd w:fill="F4F7FA"/>
          </w:tcPr>
          <w:p>
            <w:pPr>
              <w:spacing w:after="40" w:line="250" w:lineRule="auto"/>
            </w:pPr>
            <w:r>
              <w:rPr>
                <w:sz w:val="16"/>
              </w:rPr>
              <w:t>Controlled sources</w:t>
            </w:r>
          </w:p>
        </w:tc>
        <w:tc>
          <w:tcPr>
            <w:tcW w:type="dxa" w:w="5472"/>
            <w:tcMar>
              <w:top w:w="105" w:type="dxa"/>
              <w:left w:w="120" w:type="dxa"/>
              <w:bottom w:w="105" w:type="dxa"/>
              <w:right w:w="120" w:type="dxa"/>
            </w:tcMar>
            <w:vAlign w:val="center"/>
            <w:shd w:fill="F4F7FA"/>
          </w:tcPr>
          <w:p>
            <w:pPr>
              <w:spacing w:after="40" w:line="250" w:lineRule="auto"/>
            </w:pPr>
            <w:r>
              <w:rPr>
                <w:sz w:val="16"/>
              </w:rPr>
              <w:t>Agreement, playbook, policy, and evaluation-set versions</w:t>
            </w:r>
          </w:p>
        </w:tc>
        <w:tc>
          <w:tcPr>
            <w:tcW w:type="dxa" w:w="2016"/>
            <w:tcMar>
              <w:top w:w="105" w:type="dxa"/>
              <w:left w:w="120" w:type="dxa"/>
              <w:bottom w:w="105" w:type="dxa"/>
              <w:right w:w="120" w:type="dxa"/>
            </w:tcMar>
            <w:vAlign w:val="center"/>
            <w:shd w:fill="F4F7FA"/>
          </w:tcPr>
          <w:p>
            <w:pPr>
              <w:spacing w:after="40" w:line="250" w:lineRule="auto"/>
            </w:pPr>
            <w:r>
              <w:rPr>
                <w:sz w:val="16"/>
              </w:rPr>
              <w:t>Pass</w:t>
            </w:r>
          </w:p>
        </w:tc>
      </w:tr>
      <w:tr>
        <w:tc>
          <w:tcPr>
            <w:tcW w:type="dxa" w:w="2160"/>
            <w:tcMar>
              <w:top w:w="105" w:type="dxa"/>
              <w:left w:w="120" w:type="dxa"/>
              <w:bottom w:w="105" w:type="dxa"/>
              <w:right w:w="120" w:type="dxa"/>
            </w:tcMar>
            <w:vAlign w:val="center"/>
          </w:tcPr>
          <w:p>
            <w:pPr>
              <w:spacing w:after="40" w:line="250" w:lineRule="auto"/>
            </w:pPr>
            <w:r>
              <w:rPr>
                <w:sz w:val="16"/>
              </w:rPr>
              <w:t>Validation</w:t>
            </w:r>
          </w:p>
        </w:tc>
        <w:tc>
          <w:tcPr>
            <w:tcW w:type="dxa" w:w="5472"/>
            <w:tcMar>
              <w:top w:w="105" w:type="dxa"/>
              <w:left w:w="120" w:type="dxa"/>
              <w:bottom w:w="105" w:type="dxa"/>
              <w:right w:w="120" w:type="dxa"/>
            </w:tcMar>
            <w:vAlign w:val="center"/>
          </w:tcPr>
          <w:p>
            <w:pPr>
              <w:spacing w:after="40" w:line="250" w:lineRule="auto"/>
            </w:pPr>
            <w:r>
              <w:rPr>
                <w:sz w:val="16"/>
              </w:rPr>
              <w:t>100 percent critical benchmark recall and at least 95 percent citation accuracy</w:t>
            </w:r>
          </w:p>
        </w:tc>
        <w:tc>
          <w:tcPr>
            <w:tcW w:type="dxa" w:w="2016"/>
            <w:tcMar>
              <w:top w:w="105" w:type="dxa"/>
              <w:left w:w="120" w:type="dxa"/>
              <w:bottom w:w="105" w:type="dxa"/>
              <w:right w:w="120" w:type="dxa"/>
            </w:tcMar>
            <w:vAlign w:val="center"/>
          </w:tcPr>
          <w:p>
            <w:pPr>
              <w:spacing w:after="40" w:line="250" w:lineRule="auto"/>
            </w:pPr>
            <w:r>
              <w:rPr>
                <w:sz w:val="16"/>
              </w:rPr>
              <w:t>Pass for deterministic synthetic benchmark</w:t>
            </w:r>
          </w:p>
        </w:tc>
      </w:tr>
      <w:tr>
        <w:tc>
          <w:tcPr>
            <w:tcW w:type="dxa" w:w="2160"/>
            <w:tcMar>
              <w:top w:w="105" w:type="dxa"/>
              <w:left w:w="120" w:type="dxa"/>
              <w:bottom w:w="105" w:type="dxa"/>
              <w:right w:w="120" w:type="dxa"/>
            </w:tcMar>
            <w:vAlign w:val="center"/>
            <w:shd w:fill="F4F7FA"/>
          </w:tcPr>
          <w:p>
            <w:pPr>
              <w:spacing w:after="40" w:line="250" w:lineRule="auto"/>
            </w:pPr>
            <w:r>
              <w:rPr>
                <w:sz w:val="16"/>
              </w:rPr>
              <w:t>Human accountability</w:t>
            </w:r>
          </w:p>
        </w:tc>
        <w:tc>
          <w:tcPr>
            <w:tcW w:type="dxa" w:w="5472"/>
            <w:tcMar>
              <w:top w:w="105" w:type="dxa"/>
              <w:left w:w="120" w:type="dxa"/>
              <w:bottom w:w="105" w:type="dxa"/>
              <w:right w:w="120" w:type="dxa"/>
            </w:tcMar>
            <w:vAlign w:val="center"/>
            <w:shd w:fill="F4F7FA"/>
          </w:tcPr>
          <w:p>
            <w:pPr>
              <w:spacing w:after="40" w:line="250" w:lineRule="auto"/>
            </w:pPr>
            <w:r>
              <w:rPr>
                <w:sz w:val="16"/>
              </w:rPr>
              <w:t>Named attorney and active accept, reject, and escalate controls</w:t>
            </w:r>
          </w:p>
        </w:tc>
        <w:tc>
          <w:tcPr>
            <w:tcW w:type="dxa" w:w="2016"/>
            <w:tcMar>
              <w:top w:w="105" w:type="dxa"/>
              <w:left w:w="120" w:type="dxa"/>
              <w:bottom w:w="105" w:type="dxa"/>
              <w:right w:w="120" w:type="dxa"/>
            </w:tcMar>
            <w:vAlign w:val="center"/>
            <w:shd w:fill="F4F7FA"/>
          </w:tcPr>
          <w:p>
            <w:pPr>
              <w:spacing w:after="40" w:line="250" w:lineRule="auto"/>
            </w:pPr>
            <w:r>
              <w:rPr>
                <w:sz w:val="16"/>
              </w:rPr>
              <w:t>Pass</w:t>
            </w:r>
          </w:p>
        </w:tc>
      </w:tr>
      <w:tr>
        <w:tc>
          <w:tcPr>
            <w:tcW w:type="dxa" w:w="2160"/>
            <w:tcMar>
              <w:top w:w="105" w:type="dxa"/>
              <w:left w:w="120" w:type="dxa"/>
              <w:bottom w:w="105" w:type="dxa"/>
              <w:right w:w="120" w:type="dxa"/>
            </w:tcMar>
            <w:vAlign w:val="center"/>
          </w:tcPr>
          <w:p>
            <w:pPr>
              <w:spacing w:after="40" w:line="250" w:lineRule="auto"/>
            </w:pPr>
            <w:r>
              <w:rPr>
                <w:sz w:val="16"/>
              </w:rPr>
              <w:t>Security and privacy</w:t>
            </w:r>
          </w:p>
        </w:tc>
        <w:tc>
          <w:tcPr>
            <w:tcW w:type="dxa" w:w="5472"/>
            <w:tcMar>
              <w:top w:w="105" w:type="dxa"/>
              <w:left w:w="120" w:type="dxa"/>
              <w:bottom w:w="105" w:type="dxa"/>
              <w:right w:w="120" w:type="dxa"/>
            </w:tcMar>
            <w:vAlign w:val="center"/>
          </w:tcPr>
          <w:p>
            <w:pPr>
              <w:spacing w:after="40" w:line="250" w:lineRule="auto"/>
            </w:pPr>
            <w:r>
              <w:rPr>
                <w:sz w:val="16"/>
              </w:rPr>
              <w:t>Client-specific architecture, vendor terms, access, retention, logging, and incident review</w:t>
            </w:r>
          </w:p>
        </w:tc>
        <w:tc>
          <w:tcPr>
            <w:tcW w:type="dxa" w:w="2016"/>
            <w:tcMar>
              <w:top w:w="105" w:type="dxa"/>
              <w:left w:w="120" w:type="dxa"/>
              <w:bottom w:w="105" w:type="dxa"/>
              <w:right w:w="120" w:type="dxa"/>
            </w:tcMar>
            <w:vAlign w:val="center"/>
          </w:tcPr>
          <w:p>
            <w:pPr>
              <w:spacing w:after="40" w:line="250" w:lineRule="auto"/>
            </w:pPr>
            <w:r>
              <w:rPr>
                <w:sz w:val="16"/>
              </w:rPr>
              <w:t>Required before client-data pilot</w:t>
            </w:r>
          </w:p>
        </w:tc>
      </w:tr>
      <w:tr>
        <w:tc>
          <w:tcPr>
            <w:tcW w:type="dxa" w:w="2160"/>
            <w:tcMar>
              <w:top w:w="105" w:type="dxa"/>
              <w:left w:w="120" w:type="dxa"/>
              <w:bottom w:w="105" w:type="dxa"/>
              <w:right w:w="120" w:type="dxa"/>
            </w:tcMar>
            <w:vAlign w:val="center"/>
            <w:shd w:fill="F4F7FA"/>
          </w:tcPr>
          <w:p>
            <w:pPr>
              <w:spacing w:after="40" w:line="250" w:lineRule="auto"/>
            </w:pPr>
            <w:r>
              <w:rPr>
                <w:sz w:val="16"/>
              </w:rPr>
              <w:t>Change approval</w:t>
            </w:r>
          </w:p>
        </w:tc>
        <w:tc>
          <w:tcPr>
            <w:tcW w:type="dxa" w:w="5472"/>
            <w:tcMar>
              <w:top w:w="105" w:type="dxa"/>
              <w:left w:w="120" w:type="dxa"/>
              <w:bottom w:w="105" w:type="dxa"/>
              <w:right w:w="120" w:type="dxa"/>
            </w:tcMar>
            <w:vAlign w:val="center"/>
            <w:shd w:fill="F4F7FA"/>
          </w:tcPr>
          <w:p>
            <w:pPr>
              <w:spacing w:after="40" w:line="250" w:lineRule="auto"/>
            </w:pPr>
            <w:r>
              <w:rPr>
                <w:sz w:val="16"/>
              </w:rPr>
              <w:t>Revalidation results and authorized release decision</w:t>
            </w:r>
          </w:p>
        </w:tc>
        <w:tc>
          <w:tcPr>
            <w:tcW w:type="dxa" w:w="2016"/>
            <w:tcMar>
              <w:top w:w="105" w:type="dxa"/>
              <w:left w:w="120" w:type="dxa"/>
              <w:bottom w:w="105" w:type="dxa"/>
              <w:right w:w="120" w:type="dxa"/>
            </w:tcMar>
            <w:vAlign w:val="center"/>
            <w:shd w:fill="F4F7FA"/>
          </w:tcPr>
          <w:p>
            <w:pPr>
              <w:spacing w:after="40" w:line="250" w:lineRule="auto"/>
            </w:pPr>
            <w:r>
              <w:rPr>
                <w:sz w:val="16"/>
              </w:rPr>
              <w:t>Required for every material change</w:t>
            </w:r>
          </w:p>
        </w:tc>
      </w:tr>
    </w:tbl>
    <w:p>
      <w:pPr>
        <w:spacing w:after="20"/>
      </w:pPr>
    </w:p>
    <w:p>
      <w:pPr>
        <w:pStyle w:val="Heading2"/>
      </w:pPr>
      <w:r>
        <w:t>Runtime assurance exercise</w:t>
      </w:r>
    </w:p>
    <w:p>
      <w:r>
        <w:t>Scenario: the Playbook Risk Agent asserts that Illinois law requires a 24-hour incident-notification deadline, but no approved authority supports that assertion.</w:t>
      </w:r>
    </w:p>
    <w:p>
      <w:pPr>
        <w:pStyle w:val="ListBullet"/>
        <w:spacing w:after="60"/>
      </w:pPr>
      <w:r>
        <w:t>Detect  The Evidence Auditor identifies the missing authority and rejects the unsupported legal assertion.</w:t>
      </w:r>
    </w:p>
    <w:p>
      <w:pPr>
        <w:pStyle w:val="ListBullet"/>
        <w:spacing w:after="60"/>
      </w:pPr>
      <w:r>
        <w:t>Contain  The finding is withheld and cannot reach the Drafting Agent.</w:t>
      </w:r>
    </w:p>
    <w:p>
      <w:pPr>
        <w:pStyle w:val="ListBullet"/>
        <w:spacing w:after="60"/>
      </w:pPr>
      <w:r>
        <w:t>Escalate  The matter attorney receives the claim, challenge, and missing-evidence reason.</w:t>
      </w:r>
    </w:p>
    <w:p>
      <w:pPr>
        <w:pStyle w:val="ListBullet"/>
        <w:spacing w:after="60"/>
      </w:pPr>
      <w:r>
        <w:t>Record  The system retains the claim, configuration, challenge, disposition, owner, and timestamp.</w:t>
      </w:r>
    </w:p>
    <w:p>
      <w:pPr>
        <w:pStyle w:val="ListBullet"/>
        <w:spacing w:after="60"/>
      </w:pPr>
      <w:r>
        <w:t>Resume  Only an attorney-approved authority or corrected playbook can release a replacement finding.</w:t>
      </w:r>
    </w:p>
    <w:p>
      <w:r>
        <w:br w:type="page"/>
      </w:r>
    </w:p>
    <w:p>
      <w:pPr>
        <w:pStyle w:val="Heading1"/>
      </w:pPr>
      <w:r>
        <w:t>Measurement and implementation plan</w:t>
      </w:r>
    </w:p>
    <w:p>
      <w:r>
        <w:rPr>
          <w:color w:val="486581"/>
        </w:rPr>
        <w:t>Assurance is sustained by recurring evidence, named owners, and release decisions rather than a one-time review.</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56"/>
        <w:gridCol w:w="2556"/>
        <w:gridCol w:w="2556"/>
        <w:gridCol w:w="2556"/>
      </w:tblGrid>
      <w:tr>
        <w:trPr>
          <w:tblHeader w:val="true"/>
        </w:trPr>
        <w:tc>
          <w:tcPr>
            <w:tcW w:type="dxa" w:w="2088"/>
            <w:shd w:fill="102A43"/>
            <w:tcMar>
              <w:top w:w="105" w:type="dxa"/>
              <w:left w:w="120" w:type="dxa"/>
              <w:bottom w:w="105" w:type="dxa"/>
              <w:right w:w="120" w:type="dxa"/>
            </w:tcMar>
            <w:vAlign w:val="center"/>
          </w:tcPr>
          <w:p>
            <w:r>
              <w:rPr>
                <w:b/>
                <w:color w:val="FFFFFF"/>
                <w:sz w:val="16"/>
              </w:rPr>
              <w:t>Measure</w:t>
            </w:r>
          </w:p>
        </w:tc>
        <w:tc>
          <w:tcPr>
            <w:tcW w:type="dxa" w:w="2088"/>
            <w:shd w:fill="102A43"/>
            <w:tcMar>
              <w:top w:w="105" w:type="dxa"/>
              <w:left w:w="120" w:type="dxa"/>
              <w:bottom w:w="105" w:type="dxa"/>
              <w:right w:w="120" w:type="dxa"/>
            </w:tcMar>
            <w:vAlign w:val="center"/>
          </w:tcPr>
          <w:p>
            <w:r>
              <w:rPr>
                <w:b/>
                <w:color w:val="FFFFFF"/>
                <w:sz w:val="16"/>
              </w:rPr>
              <w:t>Pilot target</w:t>
            </w:r>
          </w:p>
        </w:tc>
        <w:tc>
          <w:tcPr>
            <w:tcW w:type="dxa" w:w="3960"/>
            <w:shd w:fill="102A43"/>
            <w:tcMar>
              <w:top w:w="105" w:type="dxa"/>
              <w:left w:w="120" w:type="dxa"/>
              <w:bottom w:w="105" w:type="dxa"/>
              <w:right w:w="120" w:type="dxa"/>
            </w:tcMar>
            <w:vAlign w:val="center"/>
          </w:tcPr>
          <w:p>
            <w:r>
              <w:rPr>
                <w:b/>
                <w:color w:val="FFFFFF"/>
                <w:sz w:val="16"/>
              </w:rPr>
              <w:t>Why it matters</w:t>
            </w:r>
          </w:p>
        </w:tc>
        <w:tc>
          <w:tcPr>
            <w:tcW w:type="dxa" w:w="1512"/>
            <w:shd w:fill="102A43"/>
            <w:tcMar>
              <w:top w:w="105" w:type="dxa"/>
              <w:left w:w="120" w:type="dxa"/>
              <w:bottom w:w="105" w:type="dxa"/>
              <w:right w:w="120" w:type="dxa"/>
            </w:tcMar>
            <w:vAlign w:val="center"/>
          </w:tcPr>
          <w:p>
            <w:r>
              <w:rPr>
                <w:b/>
                <w:color w:val="FFFFFF"/>
                <w:sz w:val="16"/>
              </w:rPr>
              <w:t>Owner</w:t>
            </w:r>
          </w:p>
        </w:tc>
      </w:tr>
      <w:tr>
        <w:tc>
          <w:tcPr>
            <w:tcW w:type="dxa" w:w="2088"/>
            <w:tcMar>
              <w:top w:w="105" w:type="dxa"/>
              <w:left w:w="120" w:type="dxa"/>
              <w:bottom w:w="105" w:type="dxa"/>
              <w:right w:w="120" w:type="dxa"/>
            </w:tcMar>
            <w:vAlign w:val="center"/>
          </w:tcPr>
          <w:p>
            <w:pPr>
              <w:spacing w:after="40" w:line="250" w:lineRule="auto"/>
            </w:pPr>
            <w:r>
              <w:rPr>
                <w:sz w:val="16"/>
              </w:rPr>
              <w:t>Critical finding recall</w:t>
            </w:r>
          </w:p>
        </w:tc>
        <w:tc>
          <w:tcPr>
            <w:tcW w:type="dxa" w:w="2088"/>
            <w:tcMar>
              <w:top w:w="105" w:type="dxa"/>
              <w:left w:w="120" w:type="dxa"/>
              <w:bottom w:w="105" w:type="dxa"/>
              <w:right w:w="120" w:type="dxa"/>
            </w:tcMar>
            <w:vAlign w:val="center"/>
          </w:tcPr>
          <w:p>
            <w:pPr>
              <w:spacing w:after="40" w:line="250" w:lineRule="auto"/>
            </w:pPr>
            <w:r>
              <w:rPr>
                <w:sz w:val="16"/>
              </w:rPr>
              <w:t>100 percent on approved golden matters</w:t>
            </w:r>
          </w:p>
        </w:tc>
        <w:tc>
          <w:tcPr>
            <w:tcW w:type="dxa" w:w="3960"/>
            <w:tcMar>
              <w:top w:w="105" w:type="dxa"/>
              <w:left w:w="120" w:type="dxa"/>
              <w:bottom w:w="105" w:type="dxa"/>
              <w:right w:w="120" w:type="dxa"/>
            </w:tcMar>
            <w:vAlign w:val="center"/>
          </w:tcPr>
          <w:p>
            <w:pPr>
              <w:spacing w:after="40" w:line="250" w:lineRule="auto"/>
            </w:pPr>
            <w:r>
              <w:rPr>
                <w:sz w:val="16"/>
              </w:rPr>
              <w:t>A missed critical issue can defeat the business purpose</w:t>
            </w:r>
          </w:p>
        </w:tc>
        <w:tc>
          <w:tcPr>
            <w:tcW w:type="dxa" w:w="1512"/>
            <w:tcMar>
              <w:top w:w="105" w:type="dxa"/>
              <w:left w:w="120" w:type="dxa"/>
              <w:bottom w:w="105" w:type="dxa"/>
              <w:right w:w="120" w:type="dxa"/>
            </w:tcMar>
            <w:vAlign w:val="center"/>
          </w:tcPr>
          <w:p>
            <w:pPr>
              <w:spacing w:after="40" w:line="250" w:lineRule="auto"/>
            </w:pPr>
            <w:r>
              <w:rPr>
                <w:sz w:val="16"/>
              </w:rPr>
              <w:t>Legal Operations</w:t>
            </w:r>
          </w:p>
        </w:tc>
      </w:tr>
      <w:tr>
        <w:tc>
          <w:tcPr>
            <w:tcW w:type="dxa" w:w="2088"/>
            <w:tcMar>
              <w:top w:w="105" w:type="dxa"/>
              <w:left w:w="120" w:type="dxa"/>
              <w:bottom w:w="105" w:type="dxa"/>
              <w:right w:w="120" w:type="dxa"/>
            </w:tcMar>
            <w:vAlign w:val="center"/>
            <w:shd w:fill="F4F7FA"/>
          </w:tcPr>
          <w:p>
            <w:pPr>
              <w:spacing w:after="40" w:line="250" w:lineRule="auto"/>
            </w:pPr>
            <w:r>
              <w:rPr>
                <w:sz w:val="16"/>
              </w:rPr>
              <w:t>Citation accuracy</w:t>
            </w:r>
          </w:p>
        </w:tc>
        <w:tc>
          <w:tcPr>
            <w:tcW w:type="dxa" w:w="2088"/>
            <w:tcMar>
              <w:top w:w="105" w:type="dxa"/>
              <w:left w:w="120" w:type="dxa"/>
              <w:bottom w:w="105" w:type="dxa"/>
              <w:right w:w="120" w:type="dxa"/>
            </w:tcMar>
            <w:vAlign w:val="center"/>
            <w:shd w:fill="F4F7FA"/>
          </w:tcPr>
          <w:p>
            <w:pPr>
              <w:spacing w:after="40" w:line="250" w:lineRule="auto"/>
            </w:pPr>
            <w:r>
              <w:rPr>
                <w:sz w:val="16"/>
              </w:rPr>
              <w:t>At least 95 percent; 100 percent desired</w:t>
            </w:r>
          </w:p>
        </w:tc>
        <w:tc>
          <w:tcPr>
            <w:tcW w:type="dxa" w:w="3960"/>
            <w:tcMar>
              <w:top w:w="105" w:type="dxa"/>
              <w:left w:w="120" w:type="dxa"/>
              <w:bottom w:w="105" w:type="dxa"/>
              <w:right w:w="120" w:type="dxa"/>
            </w:tcMar>
            <w:vAlign w:val="center"/>
            <w:shd w:fill="F4F7FA"/>
          </w:tcPr>
          <w:p>
            <w:pPr>
              <w:spacing w:after="40" w:line="250" w:lineRule="auto"/>
            </w:pPr>
            <w:r>
              <w:rPr>
                <w:sz w:val="16"/>
              </w:rPr>
              <w:t>Lawyers must be able to verify every conclusion</w:t>
            </w:r>
          </w:p>
        </w:tc>
        <w:tc>
          <w:tcPr>
            <w:tcW w:type="dxa" w:w="1512"/>
            <w:tcMar>
              <w:top w:w="105" w:type="dxa"/>
              <w:left w:w="120" w:type="dxa"/>
              <w:bottom w:w="105" w:type="dxa"/>
              <w:right w:w="120" w:type="dxa"/>
            </w:tcMar>
            <w:vAlign w:val="center"/>
            <w:shd w:fill="F4F7FA"/>
          </w:tcPr>
          <w:p>
            <w:pPr>
              <w:spacing w:after="40" w:line="250" w:lineRule="auto"/>
            </w:pPr>
            <w:r>
              <w:rPr>
                <w:sz w:val="16"/>
              </w:rPr>
              <w:t>Evidence Quality Owner</w:t>
            </w:r>
          </w:p>
        </w:tc>
      </w:tr>
      <w:tr>
        <w:tc>
          <w:tcPr>
            <w:tcW w:type="dxa" w:w="2088"/>
            <w:tcMar>
              <w:top w:w="105" w:type="dxa"/>
              <w:left w:w="120" w:type="dxa"/>
              <w:bottom w:w="105" w:type="dxa"/>
              <w:right w:w="120" w:type="dxa"/>
            </w:tcMar>
            <w:vAlign w:val="center"/>
          </w:tcPr>
          <w:p>
            <w:pPr>
              <w:spacing w:after="40" w:line="250" w:lineRule="auto"/>
            </w:pPr>
            <w:r>
              <w:rPr>
                <w:sz w:val="16"/>
              </w:rPr>
              <w:t>Unsupported-claim containment</w:t>
            </w:r>
          </w:p>
        </w:tc>
        <w:tc>
          <w:tcPr>
            <w:tcW w:type="dxa" w:w="2088"/>
            <w:tcMar>
              <w:top w:w="105" w:type="dxa"/>
              <w:left w:w="120" w:type="dxa"/>
              <w:bottom w:w="105" w:type="dxa"/>
              <w:right w:w="120" w:type="dxa"/>
            </w:tcMar>
            <w:vAlign w:val="center"/>
          </w:tcPr>
          <w:p>
            <w:pPr>
              <w:spacing w:after="40" w:line="250" w:lineRule="auto"/>
            </w:pPr>
            <w:r>
              <w:rPr>
                <w:sz w:val="16"/>
              </w:rPr>
              <w:t>100 percent of seeded unsupported claims challenged or rejected</w:t>
            </w:r>
          </w:p>
        </w:tc>
        <w:tc>
          <w:tcPr>
            <w:tcW w:type="dxa" w:w="3960"/>
            <w:tcMar>
              <w:top w:w="105" w:type="dxa"/>
              <w:left w:w="120" w:type="dxa"/>
              <w:bottom w:w="105" w:type="dxa"/>
              <w:right w:w="120" w:type="dxa"/>
            </w:tcMar>
            <w:vAlign w:val="center"/>
          </w:tcPr>
          <w:p>
            <w:pPr>
              <w:spacing w:after="40" w:line="250" w:lineRule="auto"/>
            </w:pPr>
            <w:r>
              <w:rPr>
                <w:sz w:val="16"/>
              </w:rPr>
              <w:t>Shows the runtime control changes behavior</w:t>
            </w:r>
          </w:p>
        </w:tc>
        <w:tc>
          <w:tcPr>
            <w:tcW w:type="dxa" w:w="1512"/>
            <w:tcMar>
              <w:top w:w="105" w:type="dxa"/>
              <w:left w:w="120" w:type="dxa"/>
              <w:bottom w:w="105" w:type="dxa"/>
              <w:right w:w="120" w:type="dxa"/>
            </w:tcMar>
            <w:vAlign w:val="center"/>
          </w:tcPr>
          <w:p>
            <w:pPr>
              <w:spacing w:after="40" w:line="250" w:lineRule="auto"/>
            </w:pPr>
            <w:r>
              <w:rPr>
                <w:sz w:val="16"/>
              </w:rPr>
              <w:t>AI Oversight Owner</w:t>
            </w:r>
          </w:p>
        </w:tc>
      </w:tr>
      <w:tr>
        <w:tc>
          <w:tcPr>
            <w:tcW w:type="dxa" w:w="2088"/>
            <w:tcMar>
              <w:top w:w="105" w:type="dxa"/>
              <w:left w:w="120" w:type="dxa"/>
              <w:bottom w:w="105" w:type="dxa"/>
              <w:right w:w="120" w:type="dxa"/>
            </w:tcMar>
            <w:vAlign w:val="center"/>
            <w:shd w:fill="F4F7FA"/>
          </w:tcPr>
          <w:p>
            <w:pPr>
              <w:spacing w:after="40" w:line="250" w:lineRule="auto"/>
            </w:pPr>
            <w:r>
              <w:rPr>
                <w:sz w:val="16"/>
              </w:rPr>
              <w:t>Attorney acceptance and override</w:t>
            </w:r>
          </w:p>
        </w:tc>
        <w:tc>
          <w:tcPr>
            <w:tcW w:type="dxa" w:w="2088"/>
            <w:tcMar>
              <w:top w:w="105" w:type="dxa"/>
              <w:left w:w="120" w:type="dxa"/>
              <w:bottom w:w="105" w:type="dxa"/>
              <w:right w:w="120" w:type="dxa"/>
            </w:tcMar>
            <w:vAlign w:val="center"/>
            <w:shd w:fill="F4F7FA"/>
          </w:tcPr>
          <w:p>
            <w:pPr>
              <w:spacing w:after="40" w:line="250" w:lineRule="auto"/>
            </w:pPr>
            <w:r>
              <w:rPr>
                <w:sz w:val="16"/>
              </w:rPr>
              <w:t>Monitor; no universal target</w:t>
            </w:r>
          </w:p>
        </w:tc>
        <w:tc>
          <w:tcPr>
            <w:tcW w:type="dxa" w:w="3960"/>
            <w:tcMar>
              <w:top w:w="105" w:type="dxa"/>
              <w:left w:w="120" w:type="dxa"/>
              <w:bottom w:w="105" w:type="dxa"/>
              <w:right w:w="120" w:type="dxa"/>
            </w:tcMar>
            <w:vAlign w:val="center"/>
            <w:shd w:fill="F4F7FA"/>
          </w:tcPr>
          <w:p>
            <w:pPr>
              <w:spacing w:after="40" w:line="250" w:lineRule="auto"/>
            </w:pPr>
            <w:r>
              <w:rPr>
                <w:sz w:val="16"/>
              </w:rPr>
              <w:t>High acceptance may show value or automation bias; overrides reveal calibration needs</w:t>
            </w:r>
          </w:p>
        </w:tc>
        <w:tc>
          <w:tcPr>
            <w:tcW w:type="dxa" w:w="1512"/>
            <w:tcMar>
              <w:top w:w="105" w:type="dxa"/>
              <w:left w:w="120" w:type="dxa"/>
              <w:bottom w:w="105" w:type="dxa"/>
              <w:right w:w="120" w:type="dxa"/>
            </w:tcMar>
            <w:vAlign w:val="center"/>
            <w:shd w:fill="F4F7FA"/>
          </w:tcPr>
          <w:p>
            <w:pPr>
              <w:spacing w:after="40" w:line="250" w:lineRule="auto"/>
            </w:pPr>
            <w:r>
              <w:rPr>
                <w:sz w:val="16"/>
              </w:rPr>
              <w:t>Practice Leader</w:t>
            </w:r>
          </w:p>
        </w:tc>
      </w:tr>
      <w:tr>
        <w:tc>
          <w:tcPr>
            <w:tcW w:type="dxa" w:w="2088"/>
            <w:tcMar>
              <w:top w:w="105" w:type="dxa"/>
              <w:left w:w="120" w:type="dxa"/>
              <w:bottom w:w="105" w:type="dxa"/>
              <w:right w:w="120" w:type="dxa"/>
            </w:tcMar>
            <w:vAlign w:val="center"/>
          </w:tcPr>
          <w:p>
            <w:pPr>
              <w:spacing w:after="40" w:line="250" w:lineRule="auto"/>
            </w:pPr>
            <w:r>
              <w:rPr>
                <w:sz w:val="16"/>
              </w:rPr>
              <w:t>Review cycle time</w:t>
            </w:r>
          </w:p>
        </w:tc>
        <w:tc>
          <w:tcPr>
            <w:tcW w:type="dxa" w:w="2088"/>
            <w:tcMar>
              <w:top w:w="105" w:type="dxa"/>
              <w:left w:w="120" w:type="dxa"/>
              <w:bottom w:w="105" w:type="dxa"/>
              <w:right w:w="120" w:type="dxa"/>
            </w:tcMar>
            <w:vAlign w:val="center"/>
          </w:tcPr>
          <w:p>
            <w:pPr>
              <w:spacing w:after="40" w:line="250" w:lineRule="auto"/>
            </w:pPr>
            <w:r>
              <w:rPr>
                <w:sz w:val="16"/>
              </w:rPr>
              <w:t>Compare with attorney baseline</w:t>
            </w:r>
          </w:p>
        </w:tc>
        <w:tc>
          <w:tcPr>
            <w:tcW w:type="dxa" w:w="3960"/>
            <w:tcMar>
              <w:top w:w="105" w:type="dxa"/>
              <w:left w:w="120" w:type="dxa"/>
              <w:bottom w:w="105" w:type="dxa"/>
              <w:right w:w="120" w:type="dxa"/>
            </w:tcMar>
            <w:vAlign w:val="center"/>
          </w:tcPr>
          <w:p>
            <w:pPr>
              <w:spacing w:after="40" w:line="250" w:lineRule="auto"/>
            </w:pPr>
            <w:r>
              <w:rPr>
                <w:sz w:val="16"/>
              </w:rPr>
              <w:t>Efficiency matters only when quality and responsibility are preserved</w:t>
            </w:r>
          </w:p>
        </w:tc>
        <w:tc>
          <w:tcPr>
            <w:tcW w:type="dxa" w:w="1512"/>
            <w:tcMar>
              <w:top w:w="105" w:type="dxa"/>
              <w:left w:w="120" w:type="dxa"/>
              <w:bottom w:w="105" w:type="dxa"/>
              <w:right w:w="120" w:type="dxa"/>
            </w:tcMar>
            <w:vAlign w:val="center"/>
          </w:tcPr>
          <w:p>
            <w:pPr>
              <w:spacing w:after="40" w:line="250" w:lineRule="auto"/>
            </w:pPr>
            <w:r>
              <w:rPr>
                <w:sz w:val="16"/>
              </w:rPr>
              <w:t>Product Owner</w:t>
            </w:r>
          </w:p>
        </w:tc>
      </w:tr>
      <w:tr>
        <w:tc>
          <w:tcPr>
            <w:tcW w:type="dxa" w:w="2088"/>
            <w:tcMar>
              <w:top w:w="105" w:type="dxa"/>
              <w:left w:w="120" w:type="dxa"/>
              <w:bottom w:w="105" w:type="dxa"/>
              <w:right w:w="120" w:type="dxa"/>
            </w:tcMar>
            <w:vAlign w:val="center"/>
            <w:shd w:fill="F4F7FA"/>
          </w:tcPr>
          <w:p>
            <w:pPr>
              <w:spacing w:after="40" w:line="250" w:lineRule="auto"/>
            </w:pPr>
            <w:r>
              <w:rPr>
                <w:sz w:val="16"/>
              </w:rPr>
              <w:t>Incidents and near misses</w:t>
            </w:r>
          </w:p>
        </w:tc>
        <w:tc>
          <w:tcPr>
            <w:tcW w:type="dxa" w:w="2088"/>
            <w:tcMar>
              <w:top w:w="105" w:type="dxa"/>
              <w:left w:w="120" w:type="dxa"/>
              <w:bottom w:w="105" w:type="dxa"/>
              <w:right w:w="120" w:type="dxa"/>
            </w:tcMar>
            <w:vAlign w:val="center"/>
            <w:shd w:fill="F4F7FA"/>
          </w:tcPr>
          <w:p>
            <w:pPr>
              <w:spacing w:after="40" w:line="250" w:lineRule="auto"/>
            </w:pPr>
            <w:r>
              <w:rPr>
                <w:sz w:val="16"/>
              </w:rPr>
              <w:t>All recorded, assigned, and closed</w:t>
            </w:r>
          </w:p>
        </w:tc>
        <w:tc>
          <w:tcPr>
            <w:tcW w:type="dxa" w:w="3960"/>
            <w:tcMar>
              <w:top w:w="105" w:type="dxa"/>
              <w:left w:w="120" w:type="dxa"/>
              <w:bottom w:w="105" w:type="dxa"/>
              <w:right w:w="120" w:type="dxa"/>
            </w:tcMar>
            <w:vAlign w:val="center"/>
            <w:shd w:fill="F4F7FA"/>
          </w:tcPr>
          <w:p>
            <w:pPr>
              <w:spacing w:after="40" w:line="250" w:lineRule="auto"/>
            </w:pPr>
            <w:r>
              <w:rPr>
                <w:sz w:val="16"/>
              </w:rPr>
              <w:t>Near misses provide leading evidence for improvement</w:t>
            </w:r>
          </w:p>
        </w:tc>
        <w:tc>
          <w:tcPr>
            <w:tcW w:type="dxa" w:w="1512"/>
            <w:tcMar>
              <w:top w:w="105" w:type="dxa"/>
              <w:left w:w="120" w:type="dxa"/>
              <w:bottom w:w="105" w:type="dxa"/>
              <w:right w:w="120" w:type="dxa"/>
            </w:tcMar>
            <w:vAlign w:val="center"/>
            <w:shd w:fill="F4F7FA"/>
          </w:tcPr>
          <w:p>
            <w:pPr>
              <w:spacing w:after="40" w:line="250" w:lineRule="auto"/>
            </w:pPr>
            <w:r>
              <w:rPr>
                <w:sz w:val="16"/>
              </w:rPr>
              <w:t>AI Governance Committee</w:t>
            </w:r>
          </w:p>
        </w:tc>
      </w:tr>
    </w:tbl>
    <w:p>
      <w:pPr>
        <w:spacing w:after="20"/>
      </w:pPr>
    </w:p>
    <w:p>
      <w:pPr>
        <w:pStyle w:val="Heading2"/>
      </w:pPr>
      <w:r>
        <w:t>Client implementation sequence</w:t>
      </w:r>
    </w:p>
    <w:p>
      <w:pPr>
        <w:pStyle w:val="ListBullet"/>
        <w:spacing w:after="60"/>
      </w:pPr>
      <w:r>
        <w:t>Discover and scope the firm's workflows, data, systems, integrations, decision rights, and applicable obligations.</w:t>
      </w:r>
    </w:p>
    <w:p>
      <w:pPr>
        <w:pStyle w:val="ListBullet"/>
        <w:spacing w:after="60"/>
      </w:pPr>
      <w:r>
        <w:t>Configure approved playbooks, agent mandates, access, data boundaries, human approvals, and escalation paths.</w:t>
      </w:r>
    </w:p>
    <w:p>
      <w:pPr>
        <w:pStyle w:val="ListBullet"/>
        <w:spacing w:after="60"/>
      </w:pPr>
      <w:r>
        <w:t>Validate with client-attorney-approved golden matters, red-team cases, security and privacy review, and usability testing.</w:t>
      </w:r>
    </w:p>
    <w:p>
      <w:pPr>
        <w:pStyle w:val="ListBullet"/>
        <w:spacing w:after="60"/>
      </w:pPr>
      <w:r>
        <w:t>Pilot with a small user cohort, monitor decisions and exceptions, train users, and hold weekly governance reviews.</w:t>
      </w:r>
    </w:p>
    <w:p>
      <w:pPr>
        <w:pStyle w:val="ListBullet"/>
        <w:spacing w:after="60"/>
      </w:pPr>
      <w:r>
        <w:t>Release only after documented acceptance, then monitor performance, incidents, drift, adoption, and material changes.</w:t>
      </w:r>
    </w:p>
    <w:p>
      <w:r>
        <w:br w:type="page"/>
      </w:r>
    </w:p>
    <w:p>
      <w:pPr>
        <w:pStyle w:val="Heading1"/>
      </w:pPr>
      <w:r>
        <w:t>Sources and usage notes</w:t>
      </w:r>
    </w:p>
    <w:p>
      <w:r>
        <w:rPr>
          <w:color w:val="486581"/>
        </w:rPr>
        <w:t>The profile uses authoritative sources for the external framework and Illinois overlay, while treating internal frameworks as implementation aids.</w:t>
      </w:r>
    </w:p>
    <w:p>
      <w:pPr>
        <w:pStyle w:val="Heading2"/>
      </w:pPr>
      <w:r>
        <w:t>Primary sources</w:t>
      </w:r>
    </w:p>
    <w:p>
      <w:pPr>
        <w:pStyle w:val="ListBullet"/>
      </w:pPr>
      <w:r>
        <w:rPr>
          <w:b/>
        </w:rPr>
        <w:t xml:space="preserve">NIST AI Risk Management Framework 1.0  </w:t>
      </w:r>
      <w:r>
        <w:t>https://www.nist.gov/itl/ai-risk-management-framework</w:t>
      </w:r>
    </w:p>
    <w:p>
      <w:pPr>
        <w:pStyle w:val="ListBullet"/>
      </w:pPr>
      <w:r>
        <w:rPr>
          <w:b/>
        </w:rPr>
        <w:t xml:space="preserve">Illinois Supreme Court Policy on Artificial Intelligence  </w:t>
      </w:r>
      <w:r>
        <w:t>https://www.illinoiscourts.gov/News/1485/Illinois-Supreme-Court-Announces-Policy-on-Artificial-Intelligence/news-detail/</w:t>
      </w:r>
    </w:p>
    <w:p>
      <w:pPr>
        <w:pStyle w:val="ListBullet"/>
      </w:pPr>
      <w:r>
        <w:rPr>
          <w:b/>
        </w:rPr>
        <w:t xml:space="preserve">Illinois Rules of Professional Conduct  </w:t>
      </w:r>
      <w:r>
        <w:t>https://www.illinoiscourts.gov/rules/supreme-court-rules?a=viii</w:t>
      </w:r>
    </w:p>
    <w:p>
      <w:pPr>
        <w:pStyle w:val="ListBullet"/>
      </w:pPr>
      <w:r>
        <w:rPr>
          <w:b/>
        </w:rPr>
        <w:t xml:space="preserve">ARDC Artificial Intelligence guidance and implementation guide  </w:t>
      </w:r>
      <w:r>
        <w:t>https://www.iardc.org/EducationAndOutreach/ArtificialIntelligence</w:t>
      </w:r>
    </w:p>
    <w:p>
      <w:pPr>
        <w:pStyle w:val="ListBullet"/>
      </w:pPr>
      <w:r>
        <w:rPr>
          <w:b/>
        </w:rPr>
        <w:t xml:space="preserve">Illinois Personal Information Protection Act  </w:t>
      </w:r>
      <w:r>
        <w:t>https://www.ilga.gov/legislation/ilcs/ilcs3.asp?ActID=2702</w:t>
      </w:r>
    </w:p>
    <w:p>
      <w:pPr>
        <w:pStyle w:val="Heading2"/>
      </w:pPr>
      <w:r>
        <w:t>Framework attribution</w:t>
      </w:r>
    </w:p>
    <w:p>
      <w:r>
        <w:t>SERVE is the project sponsor's operating framework for Strategy, Execution, Risk, Value, and Ethics. This profile narrows the external crosswalk to NIST AI RMF and Illinois obligations for the present demonstration.</w:t>
      </w:r>
    </w:p>
    <w:p>
      <w:r>
        <w:t>VERDICT was developed by Niharika Srivastav and Sanjay Saxena. Their authors' note licenses the framework under CC BY 4.0, while the supplied book text is copyrighted. This profile uses only the seven high-level pillar names as a credited conceptual cross-check and does not reproduce the book.</w:t>
      </w:r>
    </w:p>
    <w:p>
      <w:pPr>
        <w:pStyle w:val="Heading2"/>
      </w:pPr>
      <w:r>
        <w:t>Interpretation</w:t>
      </w:r>
    </w:p>
    <w:p>
      <w:r>
        <w:t>NIST AI RMF is voluntary guidance, not a certification. Illinois applicability must be confirmed for the actual firm, client, data, jurisdiction, court, and workflow. Status terms in this profile mean mapped, implemented, evidence available, needs review, or not applicable; none means automatically compliant.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ook w:firstColumn="1" w:firstRow="1" w:lastColumn="0" w:lastRow="0" w:noHBand="0" w:noVBand="1" w:val="04A0"/>
    </w:tblPr>
    <w:tblGrid>
      <w:gridCol w:w="5076"/>
      <w:gridCol w:w="5076"/>
    </w:tblGrid>
    <w:tr>
      <w:tc>
        <w:tcPr>
          <w:tcW w:type="dxa" w:w="5076"/>
        </w:tcPr>
        <w:p>
          <w:r>
            <w:rPr>
              <w:color w:val="486581"/>
              <w:sz w:val="14"/>
            </w:rPr>
            <w:t>Synthetic pilot assurance record  Not legal advice or certification</w:t>
          </w:r>
        </w:p>
      </w:tc>
      <w:tc>
        <w:tcPr>
          <w:tcW w:type="dxa" w:w="5076"/>
        </w:tcPr>
        <w:p>
          <w:pPr>
            <w:jc w:val="right"/>
          </w:pPr>
          <w:r>
            <w:rPr>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5076"/>
      <w:gridCol w:w="5076"/>
    </w:tblGrid>
    <w:tr>
      <w:tc>
        <w:tcPr>
          <w:tcW w:type="dxa" w:w="5076"/>
        </w:tcPr>
        <w:p>
          <w:r>
            <w:rPr>
              <w:b/>
              <w:sz w:val="16"/>
            </w:rPr>
            <w:t>Governed Legal AI Studio</w:t>
          </w:r>
        </w:p>
      </w:tc>
      <w:tc>
        <w:tcPr>
          <w:tcW w:type="dxa" w:w="5076"/>
        </w:tcPr>
        <w:p>
          <w:pPr>
            <w:jc w:val="right"/>
          </w:pPr>
          <w:r>
            <w:rPr>
              <w:b/>
              <w:sz w:val="16"/>
            </w:rPr>
            <w:t>SERVE Assurance Profile v1.0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eastAsia="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40"/>
      <w:outlineLvl w:val="0"/>
    </w:pPr>
    <w:rPr>
      <w:rFonts w:asciiTheme="majorHAnsi" w:eastAsiaTheme="majorEastAsia" w:hAnsiTheme="majorHAnsi" w:cstheme="majorBidi" w:ascii="Arial" w:hAnsi="Arial" w:eastAsia="Arial" w:cs="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00" w:after="140"/>
      <w:outlineLvl w:val="1"/>
    </w:pPr>
    <w:rPr>
      <w:rFonts w:asciiTheme="majorHAnsi" w:eastAsiaTheme="majorEastAsia" w:hAnsiTheme="majorHAnsi" w:cstheme="majorBidi"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00" w:after="140"/>
      <w:outlineLvl w:val="2"/>
    </w:pPr>
    <w:rPr>
      <w:rFonts w:asciiTheme="majorHAnsi" w:eastAsiaTheme="majorEastAsia" w:hAnsiTheme="majorHAnsi" w:cstheme="majorBidi"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100"/>
      <w:contextualSpacing/>
    </w:pPr>
    <w:rPr>
      <w:rFonts w:asciiTheme="majorHAnsi" w:eastAsiaTheme="majorEastAsia" w:hAnsiTheme="majorHAnsi" w:cstheme="majorBidi" w:ascii="Arial" w:hAnsi="Arial" w:eastAsia="Arial" w:cs="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00" w:after="140"/>
    </w:pPr>
    <w:rPr>
      <w:rFonts w:asciiTheme="majorHAnsi" w:eastAsiaTheme="majorEastAsia" w:hAnsiTheme="majorHAnsi" w:cstheme="majorBidi" w:ascii="Arial" w:hAnsi="Arial" w:eastAsia="Arial" w:cs="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SERVE Legal AI Assurance Profile</dc:title>
  <dc:subject>Governance and assurance profile for a synthetic legal contract review pilot</dc:subject>
  <dc:creator>Governed Legal AI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